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36BC7" w14:textId="4DAA4033" w:rsidR="002022FE" w:rsidRPr="00DC44E3" w:rsidRDefault="00DC6417" w:rsidP="00DC6417">
      <w:pPr>
        <w:pStyle w:val="JANZSSAArticlehead"/>
      </w:pPr>
      <w:bookmarkStart w:id="0" w:name="_Hlk24277369"/>
      <w:r>
        <w:t>More Than Just Counselling: Evolving Mental Health Support in Australian TAFEs: Integrating Whole‑of‑Institution Strategies, Peer‑Led Models</w:t>
      </w:r>
      <w:r w:rsidR="006549E1">
        <w:t>,</w:t>
      </w:r>
      <w:r>
        <w:t xml:space="preserve"> and Neurodiversity‑Affirming Practice</w:t>
      </w:r>
    </w:p>
    <w:p w14:paraId="5DC5ADDE" w14:textId="291D47ED" w:rsidR="002022FE" w:rsidRPr="00667072" w:rsidRDefault="00DC6417" w:rsidP="00667072">
      <w:pPr>
        <w:pStyle w:val="JANZSSAAuthor"/>
      </w:pPr>
      <w:r w:rsidRPr="00DC6417">
        <w:t>Sakshi Kaushal</w:t>
      </w:r>
    </w:p>
    <w:p w14:paraId="5A643998" w14:textId="7D8D4F81" w:rsidR="00A667F6" w:rsidRDefault="00DC6417" w:rsidP="00571F4B">
      <w:pPr>
        <w:pStyle w:val="JANZSSAInstitution"/>
      </w:pPr>
      <w:r w:rsidRPr="00DC6417">
        <w:t>Holmesglen Institute of TAFE</w:t>
      </w:r>
      <w:r w:rsidR="00A667F6" w:rsidRPr="00A667F6">
        <w:t xml:space="preserve"> </w:t>
      </w:r>
    </w:p>
    <w:p w14:paraId="77EEC052" w14:textId="2215B3FB" w:rsidR="002022FE" w:rsidRPr="00DC44E3" w:rsidRDefault="002022FE" w:rsidP="00BB7D85">
      <w:pPr>
        <w:pStyle w:val="JANZSSAHeading1"/>
      </w:pPr>
      <w:r w:rsidRPr="00DC44E3">
        <w:t>Abstract</w:t>
      </w:r>
      <w:r w:rsidR="00D50C70">
        <w:t xml:space="preserve"> </w:t>
      </w:r>
    </w:p>
    <w:p w14:paraId="406B68EA" w14:textId="2111ED89" w:rsidR="0005549E" w:rsidRPr="00DC44E3" w:rsidRDefault="00E80EB2" w:rsidP="0005549E">
      <w:pPr>
        <w:pStyle w:val="JANZSSAAbstractBody"/>
        <w:rPr>
          <w:rtl/>
        </w:rPr>
      </w:pPr>
      <w:r w:rsidRPr="00E80EB2">
        <w:t xml:space="preserve">Student mental health across Australian tertiary education has been under sustained pressure since the COVID‑19 pandemic. Within the </w:t>
      </w:r>
      <w:r w:rsidR="00F76B71">
        <w:t>v</w:t>
      </w:r>
      <w:r w:rsidRPr="00E80EB2">
        <w:t xml:space="preserve">ocational </w:t>
      </w:r>
      <w:r w:rsidR="00F76B71">
        <w:t>e</w:t>
      </w:r>
      <w:r w:rsidRPr="00E80EB2">
        <w:t xml:space="preserve">ducation and </w:t>
      </w:r>
      <w:r w:rsidR="00F76B71">
        <w:t>t</w:t>
      </w:r>
      <w:r w:rsidRPr="00E80EB2">
        <w:t>raining (VET) sector, Technical and Further Education (TAFE) institutes support highly diverse cohorts who are often at elevated risk of distress due to socio‑economic and structural barriers. This professional paper synthesises current evidence and practitioner insights to propose a pragmatic model that moves ‘beyond the therapy room’. This paper reviews recent national surveys and sector data on distress and non‑completion</w:t>
      </w:r>
      <w:r w:rsidR="00D9569D">
        <w:t>;</w:t>
      </w:r>
      <w:r w:rsidRPr="00E80EB2">
        <w:t xml:space="preserve"> outlines enabling frameworks</w:t>
      </w:r>
      <w:r w:rsidR="00D9569D">
        <w:t>;</w:t>
      </w:r>
      <w:r w:rsidRPr="00E80EB2">
        <w:t xml:space="preserve"> and presents a co-designed pilot study, the Neurodiversity Initiative, to improve engagement, retention, and workforce readiness among neurodivergent learners in VET. An implementation roadmap and evaluation framework are provided to support scalability across TAFEs of different sizes and contexts. The paper concludes with system‑level recommendations to embed inclusive, sustainable responses that meet the current Registered Training Organisation (RTO) standard guidelines for student wellbeing and improving education and employment outcomes for VET learners.</w:t>
      </w:r>
    </w:p>
    <w:p w14:paraId="69A95873" w14:textId="77777777" w:rsidR="00683B3B" w:rsidRPr="00571F4B" w:rsidRDefault="002022FE" w:rsidP="00BB7D85">
      <w:pPr>
        <w:pStyle w:val="JANZSSAHeading1"/>
      </w:pPr>
      <w:r w:rsidRPr="00571F4B">
        <w:t>Keywords</w:t>
      </w:r>
    </w:p>
    <w:p w14:paraId="137EAC5C" w14:textId="4EA40ACE" w:rsidR="00D6009D" w:rsidRPr="006A0AF4" w:rsidRDefault="00E80EB2" w:rsidP="00176032">
      <w:pPr>
        <w:pStyle w:val="JANZSSABodycopy"/>
      </w:pPr>
      <w:r w:rsidRPr="00E80EB2">
        <w:t>TAFE; VET; student mental health; inclusive education; neurodiversity; peer programs; whole‑of‑institution; Australia</w:t>
      </w:r>
      <w:r w:rsidR="00174F9D">
        <w:t>.</w:t>
      </w:r>
    </w:p>
    <w:p w14:paraId="442200C2" w14:textId="3DB32DA3" w:rsidR="002022FE" w:rsidRPr="00DC44E3" w:rsidRDefault="00196760" w:rsidP="00BB7D85">
      <w:pPr>
        <w:pStyle w:val="JANZSSAHeading1"/>
      </w:pPr>
      <w:r>
        <w:t>Introduction</w:t>
      </w:r>
      <w:r w:rsidR="00204302">
        <w:t xml:space="preserve"> </w:t>
      </w:r>
      <w:r w:rsidR="00E80EB2" w:rsidRPr="00E80EB2">
        <w:t xml:space="preserve">and </w:t>
      </w:r>
      <w:r w:rsidR="00CD076D">
        <w:t>b</w:t>
      </w:r>
      <w:r w:rsidR="00E80EB2" w:rsidRPr="00E80EB2">
        <w:t>ackground</w:t>
      </w:r>
    </w:p>
    <w:p w14:paraId="3C33D983" w14:textId="5C8FE66B" w:rsidR="00E80EB2" w:rsidRDefault="00F76B71" w:rsidP="00E80EB2">
      <w:pPr>
        <w:pStyle w:val="JANZSSABodycopy"/>
      </w:pPr>
      <w:r w:rsidRPr="00F76B71">
        <w:t>Technical and Further Education (TAFE) institutes</w:t>
      </w:r>
      <w:r w:rsidR="00E80EB2" w:rsidRPr="00E701FC">
        <w:rPr>
          <w:rFonts w:hint="cs"/>
        </w:rPr>
        <w:t xml:space="preserve"> occupy a distinctive position in Australia’s education landscape. </w:t>
      </w:r>
      <w:r w:rsidR="001968EA">
        <w:t>TAFEs s</w:t>
      </w:r>
      <w:r w:rsidR="00E80EB2" w:rsidRPr="00E701FC">
        <w:rPr>
          <w:rFonts w:hint="cs"/>
        </w:rPr>
        <w:t>upport highly diverse cohorts including apprentices, international students, refugees, First Nations learners, students with disability, and mature-age learners</w:t>
      </w:r>
      <w:r w:rsidR="00E80EB2">
        <w:t>. Many students</w:t>
      </w:r>
      <w:r w:rsidR="00E80EB2" w:rsidRPr="00E701FC">
        <w:rPr>
          <w:rFonts w:hint="cs"/>
        </w:rPr>
        <w:t xml:space="preserve"> balanc</w:t>
      </w:r>
      <w:r w:rsidR="00E80EB2">
        <w:t>e</w:t>
      </w:r>
      <w:r w:rsidR="00E80EB2" w:rsidRPr="00E701FC">
        <w:rPr>
          <w:rFonts w:hint="cs"/>
        </w:rPr>
        <w:t xml:space="preserve"> work and care</w:t>
      </w:r>
      <w:r w:rsidR="00E80EB2">
        <w:t>,</w:t>
      </w:r>
      <w:r w:rsidR="00E80EB2" w:rsidRPr="00E701FC">
        <w:rPr>
          <w:rFonts w:hint="cs"/>
        </w:rPr>
        <w:t xml:space="preserve"> </w:t>
      </w:r>
      <w:r w:rsidR="00E80EB2">
        <w:t xml:space="preserve">often </w:t>
      </w:r>
      <w:r w:rsidR="00E80EB2" w:rsidRPr="00E701FC">
        <w:rPr>
          <w:rFonts w:hint="cs"/>
        </w:rPr>
        <w:t>fac</w:t>
      </w:r>
      <w:r w:rsidR="00E80EB2">
        <w:t>ing</w:t>
      </w:r>
      <w:r w:rsidR="00E80EB2" w:rsidRPr="00E701FC">
        <w:rPr>
          <w:rFonts w:hint="cs"/>
        </w:rPr>
        <w:t xml:space="preserve"> compounding stressors. These intersecting pressures elevate mental health risk and complicate help-seeking. Administrative disclosures of mental illness have long been known to undercount the true </w:t>
      </w:r>
      <w:r w:rsidR="00E80EB2" w:rsidRPr="001D6ACD">
        <w:t>burden</w:t>
      </w:r>
      <w:r w:rsidR="00E80EB2" w:rsidRPr="00E701FC">
        <w:rPr>
          <w:rFonts w:hint="cs"/>
        </w:rPr>
        <w:t xml:space="preserve"> in the </w:t>
      </w:r>
      <w:r w:rsidRPr="00F76B71">
        <w:t xml:space="preserve">vocational education and training </w:t>
      </w:r>
      <w:r>
        <w:t>(</w:t>
      </w:r>
      <w:r w:rsidR="00E80EB2" w:rsidRPr="00E701FC">
        <w:rPr>
          <w:rFonts w:hint="cs"/>
        </w:rPr>
        <w:t>VET</w:t>
      </w:r>
      <w:r>
        <w:t>)</w:t>
      </w:r>
      <w:r w:rsidR="00E80EB2" w:rsidRPr="00E701FC">
        <w:rPr>
          <w:rFonts w:hint="cs"/>
        </w:rPr>
        <w:t xml:space="preserve"> population. </w:t>
      </w:r>
      <w:r w:rsidR="00E80EB2" w:rsidRPr="001968EA">
        <w:rPr>
          <w:rFonts w:hint="cs"/>
        </w:rPr>
        <w:t>Mild</w:t>
      </w:r>
      <w:r w:rsidR="002D47AD">
        <w:t xml:space="preserve"> </w:t>
      </w:r>
      <w:r w:rsidR="00E80EB2" w:rsidRPr="001968EA">
        <w:rPr>
          <w:rFonts w:hint="cs"/>
        </w:rPr>
        <w:t>to</w:t>
      </w:r>
      <w:r w:rsidR="002D47AD">
        <w:t xml:space="preserve"> </w:t>
      </w:r>
      <w:r w:rsidR="00E80EB2" w:rsidRPr="001968EA">
        <w:rPr>
          <w:rFonts w:hint="cs"/>
        </w:rPr>
        <w:t>moderate</w:t>
      </w:r>
      <w:r w:rsidR="00E80EB2" w:rsidRPr="00E701FC">
        <w:rPr>
          <w:rFonts w:hint="cs"/>
        </w:rPr>
        <w:t xml:space="preserve"> distress is common, frequently undisclosed, and disproportionately concentrated in equity cohorts (Orygen, 2018).</w:t>
      </w:r>
      <w:r w:rsidR="00E80EB2">
        <w:t xml:space="preserve"> </w:t>
      </w:r>
    </w:p>
    <w:p w14:paraId="2C2C4F02" w14:textId="70EAFA34" w:rsidR="00E80EB2" w:rsidRPr="00E701FC" w:rsidRDefault="00E80EB2" w:rsidP="00E80EB2">
      <w:pPr>
        <w:pStyle w:val="JANZSSABodycopy"/>
      </w:pPr>
      <w:r w:rsidRPr="00E701FC">
        <w:rPr>
          <w:rFonts w:hint="cs"/>
        </w:rPr>
        <w:t xml:space="preserve">Counsellors across TAFEs report a marked rise in demand, with presenting concerns increasingly entwining clinical </w:t>
      </w:r>
      <w:r w:rsidR="0018422B">
        <w:t>presentations</w:t>
      </w:r>
      <w:r w:rsidRPr="00E701FC">
        <w:rPr>
          <w:rFonts w:hint="cs"/>
        </w:rPr>
        <w:t xml:space="preserve"> such as anxiety, depression</w:t>
      </w:r>
      <w:r w:rsidR="00D22685">
        <w:t>,</w:t>
      </w:r>
      <w:r w:rsidRPr="00E701FC">
        <w:rPr>
          <w:rFonts w:hint="cs"/>
        </w:rPr>
        <w:t xml:space="preserve"> and complex trauma.</w:t>
      </w:r>
      <w:r>
        <w:t xml:space="preserve"> </w:t>
      </w:r>
      <w:r w:rsidRPr="00E701FC">
        <w:rPr>
          <w:rFonts w:hint="cs"/>
        </w:rPr>
        <w:t>Wait</w:t>
      </w:r>
      <w:r w:rsidR="008A57A2">
        <w:t xml:space="preserve">ing </w:t>
      </w:r>
      <w:r w:rsidRPr="00E701FC">
        <w:rPr>
          <w:rFonts w:hint="cs"/>
        </w:rPr>
        <w:t xml:space="preserve">lists </w:t>
      </w:r>
      <w:r w:rsidR="00834900">
        <w:t xml:space="preserve">for </w:t>
      </w:r>
      <w:r w:rsidRPr="00E701FC">
        <w:rPr>
          <w:rFonts w:hint="cs"/>
        </w:rPr>
        <w:t xml:space="preserve">mental health </w:t>
      </w:r>
      <w:r w:rsidR="008015EE">
        <w:t xml:space="preserve">community services and psychological </w:t>
      </w:r>
      <w:r w:rsidR="008A57A2">
        <w:t>services</w:t>
      </w:r>
      <w:r w:rsidR="008015EE">
        <w:t xml:space="preserve"> </w:t>
      </w:r>
      <w:r w:rsidRPr="00E701FC">
        <w:rPr>
          <w:rFonts w:hint="cs"/>
        </w:rPr>
        <w:t>remain long, and many students face barriers</w:t>
      </w:r>
      <w:r w:rsidR="00A62A89">
        <w:t xml:space="preserve"> to access</w:t>
      </w:r>
      <w:r w:rsidRPr="00E701FC">
        <w:rPr>
          <w:rFonts w:hint="cs"/>
        </w:rPr>
        <w:t xml:space="preserve"> if they do not meet specific eligibility</w:t>
      </w:r>
      <w:r w:rsidR="008015EE">
        <w:t xml:space="preserve"> or diagnostic</w:t>
      </w:r>
      <w:r w:rsidRPr="00E701FC">
        <w:rPr>
          <w:rFonts w:hint="cs"/>
        </w:rPr>
        <w:t xml:space="preserve"> criteria.</w:t>
      </w:r>
      <w:r w:rsidR="008015EE">
        <w:t xml:space="preserve"> International students </w:t>
      </w:r>
      <w:r w:rsidR="00A62A89">
        <w:t xml:space="preserve">particularly find it difficult to navigate counselling and psychological supports without Medicare benefits. </w:t>
      </w:r>
      <w:r w:rsidRPr="00E701FC">
        <w:t>Thus,</w:t>
      </w:r>
      <w:r w:rsidRPr="00E701FC">
        <w:rPr>
          <w:rFonts w:hint="cs"/>
        </w:rPr>
        <w:t xml:space="preserve"> greater responsibility</w:t>
      </w:r>
      <w:r w:rsidR="00A62A89">
        <w:t xml:space="preserve"> for counselling and psychological support</w:t>
      </w:r>
      <w:r w:rsidRPr="00E701FC">
        <w:rPr>
          <w:rFonts w:hint="cs"/>
        </w:rPr>
        <w:t xml:space="preserve"> </w:t>
      </w:r>
      <w:r w:rsidR="008A57A2">
        <w:t xml:space="preserve">is shifted </w:t>
      </w:r>
      <w:r w:rsidRPr="00E701FC">
        <w:rPr>
          <w:rFonts w:hint="cs"/>
        </w:rPr>
        <w:t>to on-campus services</w:t>
      </w:r>
      <w:r w:rsidR="008A57A2">
        <w:t>,</w:t>
      </w:r>
      <w:r w:rsidRPr="00E701FC">
        <w:rPr>
          <w:rFonts w:hint="cs"/>
        </w:rPr>
        <w:t xml:space="preserve"> creating an urgent need for better systemic supports. </w:t>
      </w:r>
    </w:p>
    <w:p w14:paraId="3ADFC017" w14:textId="77777777" w:rsidR="00E80EB2" w:rsidRDefault="00E80EB2" w:rsidP="00E80EB2">
      <w:pPr>
        <w:pStyle w:val="JANZSSABodycopy"/>
      </w:pPr>
      <w:r w:rsidRPr="00E701FC">
        <w:rPr>
          <w:rFonts w:hint="cs"/>
        </w:rPr>
        <w:t>This paper argues that the sector needs a model that is preventative, trauma</w:t>
      </w:r>
      <w:r>
        <w:t>-informed,</w:t>
      </w:r>
      <w:r w:rsidRPr="00E701FC">
        <w:rPr>
          <w:rFonts w:hint="cs"/>
        </w:rPr>
        <w:t xml:space="preserve"> </w:t>
      </w:r>
      <w:r>
        <w:t>strengths-focused,</w:t>
      </w:r>
      <w:r w:rsidRPr="00E701FC">
        <w:rPr>
          <w:rFonts w:hint="cs"/>
        </w:rPr>
        <w:t xml:space="preserve"> and structurally embedded. Drawing on current evidence and practitioner experience at TAFE, the paper proposes a whole-of-institution </w:t>
      </w:r>
      <w:r>
        <w:t xml:space="preserve">approach to student wellbeing. </w:t>
      </w:r>
      <w:r w:rsidRPr="00E701FC">
        <w:rPr>
          <w:rFonts w:hint="cs"/>
        </w:rPr>
        <w:t xml:space="preserve">The </w:t>
      </w:r>
      <w:r>
        <w:t xml:space="preserve">proposed </w:t>
      </w:r>
      <w:r w:rsidRPr="00E701FC">
        <w:rPr>
          <w:rFonts w:hint="cs"/>
        </w:rPr>
        <w:t>model would widen the scope of student support</w:t>
      </w:r>
      <w:r>
        <w:t>,</w:t>
      </w:r>
      <w:r w:rsidRPr="00E701FC">
        <w:rPr>
          <w:rFonts w:hint="cs"/>
        </w:rPr>
        <w:t xml:space="preserve"> reducing non-completion driven by personal barriers, and generate outcomes data that make the case for sustained resourcing. </w:t>
      </w:r>
    </w:p>
    <w:p w14:paraId="34D90D52" w14:textId="3643DCE1" w:rsidR="00E80EB2" w:rsidRPr="00E701FC" w:rsidRDefault="00E80EB2" w:rsidP="00E80EB2">
      <w:pPr>
        <w:pStyle w:val="JANZSSABodycopy"/>
      </w:pPr>
      <w:r w:rsidRPr="00E701FC">
        <w:rPr>
          <w:rFonts w:hint="cs"/>
        </w:rPr>
        <w:t xml:space="preserve">The paper presents </w:t>
      </w:r>
      <w:r w:rsidR="00A62A89">
        <w:t>the</w:t>
      </w:r>
      <w:r w:rsidRPr="00E701FC">
        <w:rPr>
          <w:rFonts w:hint="cs"/>
        </w:rPr>
        <w:t xml:space="preserve"> </w:t>
      </w:r>
      <w:r w:rsidR="005B581F">
        <w:t>N</w:t>
      </w:r>
      <w:r w:rsidRPr="00E701FC">
        <w:rPr>
          <w:rFonts w:hint="cs"/>
        </w:rPr>
        <w:t xml:space="preserve">eurodiversity </w:t>
      </w:r>
      <w:r w:rsidR="005B581F">
        <w:t>I</w:t>
      </w:r>
      <w:r w:rsidRPr="00E701FC">
        <w:rPr>
          <w:rFonts w:hint="cs"/>
        </w:rPr>
        <w:t xml:space="preserve">nitiative as a working case example of this approach in action, supported by an implementation roadmap and evaluation framework designed for scalability </w:t>
      </w:r>
      <w:r w:rsidRPr="00E701FC">
        <w:rPr>
          <w:rFonts w:hint="cs"/>
        </w:rPr>
        <w:lastRenderedPageBreak/>
        <w:t>across TAFEs of different sizes and contexts. It concludes with system-level recommendations for embedding inclusive</w:t>
      </w:r>
      <w:r>
        <w:t xml:space="preserve"> student </w:t>
      </w:r>
      <w:r w:rsidRPr="00E701FC">
        <w:rPr>
          <w:rFonts w:hint="cs"/>
        </w:rPr>
        <w:t xml:space="preserve">support in the VET sector. </w:t>
      </w:r>
    </w:p>
    <w:p w14:paraId="05E0C9E6" w14:textId="756DC7F5" w:rsidR="00E80EB2" w:rsidRPr="00851CF5" w:rsidRDefault="00E80EB2" w:rsidP="00E80EB2">
      <w:pPr>
        <w:pStyle w:val="JANZSSAHeading1"/>
      </w:pPr>
      <w:r w:rsidRPr="00851CF5">
        <w:rPr>
          <w:rFonts w:hint="cs"/>
        </w:rPr>
        <w:t xml:space="preserve">The </w:t>
      </w:r>
      <w:r w:rsidR="00CD076D">
        <w:t>e</w:t>
      </w:r>
      <w:r w:rsidRPr="00851CF5">
        <w:rPr>
          <w:rFonts w:hint="cs"/>
        </w:rPr>
        <w:t xml:space="preserve">vidence </w:t>
      </w:r>
      <w:r w:rsidR="00CD076D">
        <w:t>l</w:t>
      </w:r>
      <w:r w:rsidRPr="00851CF5">
        <w:rPr>
          <w:rFonts w:hint="cs"/>
        </w:rPr>
        <w:t xml:space="preserve">andscape: </w:t>
      </w:r>
      <w:r>
        <w:t>P</w:t>
      </w:r>
      <w:r w:rsidRPr="00851CF5">
        <w:rPr>
          <w:rFonts w:hint="cs"/>
        </w:rPr>
        <w:t xml:space="preserve">revalence, </w:t>
      </w:r>
      <w:r w:rsidR="00CD076D">
        <w:t>r</w:t>
      </w:r>
      <w:r w:rsidRPr="00851CF5">
        <w:rPr>
          <w:rFonts w:hint="cs"/>
        </w:rPr>
        <w:t>isks</w:t>
      </w:r>
      <w:r w:rsidR="000D0B49">
        <w:t>,</w:t>
      </w:r>
      <w:r w:rsidRPr="00851CF5">
        <w:rPr>
          <w:rFonts w:hint="cs"/>
        </w:rPr>
        <w:t xml:space="preserve"> and </w:t>
      </w:r>
      <w:r w:rsidR="00CD076D">
        <w:t>u</w:t>
      </w:r>
      <w:r w:rsidRPr="00851CF5">
        <w:rPr>
          <w:rFonts w:hint="cs"/>
        </w:rPr>
        <w:t xml:space="preserve">nmet </w:t>
      </w:r>
      <w:r w:rsidR="00CD076D">
        <w:t>n</w:t>
      </w:r>
      <w:r w:rsidRPr="00851CF5">
        <w:rPr>
          <w:rFonts w:hint="cs"/>
        </w:rPr>
        <w:t>eed</w:t>
      </w:r>
    </w:p>
    <w:p w14:paraId="1BAE3E7E" w14:textId="39C428C5" w:rsidR="00E80EB2" w:rsidRDefault="00E80EB2" w:rsidP="00E80EB2">
      <w:pPr>
        <w:pStyle w:val="JANZSSABodycopy"/>
      </w:pPr>
      <w:r w:rsidRPr="00E701FC">
        <w:rPr>
          <w:rFonts w:hint="cs"/>
        </w:rPr>
        <w:t xml:space="preserve">National student wellbeing surveys consistently show a </w:t>
      </w:r>
      <w:r w:rsidRPr="001D6ACD">
        <w:t>high burden</w:t>
      </w:r>
      <w:r w:rsidRPr="00E701FC">
        <w:rPr>
          <w:rFonts w:hint="cs"/>
        </w:rPr>
        <w:t xml:space="preserve"> of psychological distress and impaired functioning among tertiary students</w:t>
      </w:r>
      <w:r>
        <w:t>.</w:t>
      </w:r>
      <w:r w:rsidRPr="00E701FC">
        <w:rPr>
          <w:rFonts w:hint="cs"/>
        </w:rPr>
        <w:t xml:space="preserve"> The </w:t>
      </w:r>
      <w:r w:rsidR="003F030D">
        <w:t>h</w:t>
      </w:r>
      <w:r w:rsidRPr="00E701FC">
        <w:rPr>
          <w:rFonts w:hint="cs"/>
        </w:rPr>
        <w:t>eadspace</w:t>
      </w:r>
      <w:r>
        <w:t xml:space="preserve"> and </w:t>
      </w:r>
      <w:r w:rsidRPr="00E701FC">
        <w:rPr>
          <w:rFonts w:hint="cs"/>
        </w:rPr>
        <w:t>National Union of Students (NUS) survey of 16–25‑year‑old</w:t>
      </w:r>
      <w:r w:rsidR="001338C7">
        <w:t xml:space="preserve"> student</w:t>
      </w:r>
      <w:r w:rsidRPr="00E701FC">
        <w:rPr>
          <w:rFonts w:hint="cs"/>
        </w:rPr>
        <w:t>s reported that two</w:t>
      </w:r>
      <w:r w:rsidR="001338C7">
        <w:t xml:space="preserve"> </w:t>
      </w:r>
      <w:r w:rsidRPr="00E701FC">
        <w:rPr>
          <w:rFonts w:hint="cs"/>
        </w:rPr>
        <w:t xml:space="preserve">thirds rated their mental health as fair/poor and 65% experienced high or very high </w:t>
      </w:r>
      <w:r w:rsidR="00EA698C">
        <w:t xml:space="preserve">psychological </w:t>
      </w:r>
      <w:r w:rsidRPr="00E701FC">
        <w:rPr>
          <w:rFonts w:hint="cs"/>
        </w:rPr>
        <w:t>distress, with 35% reporting suicidal ideation or self‑harm in the past year</w:t>
      </w:r>
      <w:r>
        <w:t xml:space="preserve"> </w:t>
      </w:r>
      <w:r w:rsidRPr="00E701FC">
        <w:rPr>
          <w:rFonts w:hint="cs"/>
        </w:rPr>
        <w:t>(Rickwood et al., 2016). Although much research has focused on universities, a regional Australian TAFE study found distress levels higher than normative population data</w:t>
      </w:r>
      <w:r w:rsidR="00C573A6">
        <w:t xml:space="preserve"> and</w:t>
      </w:r>
      <w:r w:rsidRPr="00E701FC">
        <w:rPr>
          <w:rFonts w:hint="cs"/>
        </w:rPr>
        <w:t xml:space="preserve"> linked greater distress to emotion‑focused coping and reduced academic success (Rice et al., 2021).</w:t>
      </w:r>
      <w:r>
        <w:t xml:space="preserve"> </w:t>
      </w:r>
    </w:p>
    <w:p w14:paraId="06A03B9F" w14:textId="25ADAFC2" w:rsidR="00E80EB2" w:rsidRDefault="00E80EB2" w:rsidP="00E80EB2">
      <w:pPr>
        <w:pStyle w:val="JANZSSABodycopy"/>
      </w:pPr>
      <w:r w:rsidRPr="00E701FC">
        <w:rPr>
          <w:rFonts w:hint="cs"/>
        </w:rPr>
        <w:t>More recent youth datasets show that external stressors</w:t>
      </w:r>
      <w:r>
        <w:t>,</w:t>
      </w:r>
      <w:r w:rsidRPr="00E701FC">
        <w:rPr>
          <w:rFonts w:hint="cs"/>
        </w:rPr>
        <w:t xml:space="preserve"> particularly cost‑of‑living pressures, housing insecurity</w:t>
      </w:r>
      <w:r w:rsidR="00510C23">
        <w:t>,</w:t>
      </w:r>
      <w:r w:rsidRPr="00E701FC">
        <w:rPr>
          <w:rFonts w:hint="cs"/>
        </w:rPr>
        <w:t xml:space="preserve"> and employment precarity</w:t>
      </w:r>
      <w:r w:rsidR="00510C23">
        <w:t>,</w:t>
      </w:r>
      <w:r w:rsidRPr="00E701FC">
        <w:rPr>
          <w:rFonts w:hint="cs"/>
        </w:rPr>
        <w:t xml:space="preserve"> are salient drivers of distress. </w:t>
      </w:r>
      <w:r>
        <w:t xml:space="preserve">The 2024 </w:t>
      </w:r>
      <w:r w:rsidRPr="00E701FC">
        <w:rPr>
          <w:rFonts w:hint="cs"/>
        </w:rPr>
        <w:t>Mission Australia</w:t>
      </w:r>
      <w:r>
        <w:t xml:space="preserve"> </w:t>
      </w:r>
      <w:r w:rsidRPr="00E701FC">
        <w:rPr>
          <w:rFonts w:hint="cs"/>
        </w:rPr>
        <w:t>Youth Survey (</w:t>
      </w:r>
      <w:r w:rsidR="00007937" w:rsidRPr="00007937">
        <w:t>McHale</w:t>
      </w:r>
      <w:r w:rsidR="00007937">
        <w:t xml:space="preserve"> et al.</w:t>
      </w:r>
      <w:r w:rsidRPr="00E701FC">
        <w:rPr>
          <w:rFonts w:hint="cs"/>
        </w:rPr>
        <w:t>, 2024</w:t>
      </w:r>
      <w:r w:rsidR="00007937">
        <w:t xml:space="preserve">; </w:t>
      </w:r>
      <w:r w:rsidRPr="00E701FC">
        <w:rPr>
          <w:rFonts w:hint="cs"/>
        </w:rPr>
        <w:t>n</w:t>
      </w:r>
      <w:r w:rsidR="005B581F">
        <w:t>=</w:t>
      </w:r>
      <w:r w:rsidRPr="00E701FC">
        <w:rPr>
          <w:rFonts w:hint="cs"/>
        </w:rPr>
        <w:t>17,480) identified cost of living as the top national concern, followed by climate change and violence/safety</w:t>
      </w:r>
      <w:r>
        <w:t>, with</w:t>
      </w:r>
      <w:r w:rsidRPr="00E701FC">
        <w:rPr>
          <w:rFonts w:hint="cs"/>
        </w:rPr>
        <w:t xml:space="preserve"> mental health remai</w:t>
      </w:r>
      <w:r>
        <w:t>ning</w:t>
      </w:r>
      <w:r w:rsidRPr="00E701FC">
        <w:rPr>
          <w:rFonts w:hint="cs"/>
        </w:rPr>
        <w:t xml:space="preserve"> a leading personal concern. Broader public</w:t>
      </w:r>
      <w:r w:rsidR="000B38AC">
        <w:t xml:space="preserve"> </w:t>
      </w:r>
      <w:r w:rsidRPr="00E701FC">
        <w:rPr>
          <w:rFonts w:hint="cs"/>
        </w:rPr>
        <w:t>health analyses similarly link financial stress to worsening mental health for young people (</w:t>
      </w:r>
      <w:r w:rsidR="00F76B71" w:rsidRPr="00E701FC">
        <w:rPr>
          <w:rFonts w:hint="cs"/>
        </w:rPr>
        <w:t xml:space="preserve">Australian Council </w:t>
      </w:r>
      <w:r w:rsidR="00F76B71">
        <w:t>o</w:t>
      </w:r>
      <w:r w:rsidR="00F76B71" w:rsidRPr="00E701FC">
        <w:rPr>
          <w:rFonts w:hint="cs"/>
        </w:rPr>
        <w:t>f Social Service [ACOSS], 2020</w:t>
      </w:r>
      <w:r w:rsidR="00F76B71">
        <w:t xml:space="preserve">; </w:t>
      </w:r>
      <w:r w:rsidRPr="00E701FC">
        <w:rPr>
          <w:rFonts w:hint="cs"/>
        </w:rPr>
        <w:t>Australian Institute of Health and Welfare [AIHW], 2025).</w:t>
      </w:r>
      <w:r>
        <w:t xml:space="preserve"> </w:t>
      </w:r>
      <w:r w:rsidRPr="00E701FC">
        <w:rPr>
          <w:rFonts w:hint="cs"/>
        </w:rPr>
        <w:t xml:space="preserve">At </w:t>
      </w:r>
      <w:r>
        <w:rPr>
          <w:rFonts w:hint="cs"/>
        </w:rPr>
        <w:t xml:space="preserve">the sector level, the National Centre for Vocational Education Research </w:t>
      </w:r>
      <w:r w:rsidR="00A62A89">
        <w:t xml:space="preserve">(NCVER) </w:t>
      </w:r>
      <w:r>
        <w:rPr>
          <w:rFonts w:hint="cs"/>
        </w:rPr>
        <w:t>report</w:t>
      </w:r>
      <w:r w:rsidR="000B38AC">
        <w:t>ed</w:t>
      </w:r>
      <w:r>
        <w:rPr>
          <w:rFonts w:hint="cs"/>
        </w:rPr>
        <w:t xml:space="preserve"> that </w:t>
      </w:r>
      <w:r>
        <w:t>most</w:t>
      </w:r>
      <w:r>
        <w:rPr>
          <w:rFonts w:hint="cs"/>
        </w:rPr>
        <w:t xml:space="preserve"> VET students who discontinue their training cite personal reasons, including </w:t>
      </w:r>
      <w:r>
        <w:rPr>
          <w:rFonts w:hint="cs"/>
          <w:color w:val="000000"/>
        </w:rPr>
        <w:t>illness or health-related challenges</w:t>
      </w:r>
      <w:r w:rsidR="000B38AC">
        <w:rPr>
          <w:color w:val="000000"/>
        </w:rPr>
        <w:t>;</w:t>
      </w:r>
      <w:r>
        <w:rPr>
          <w:rFonts w:hint="cs"/>
          <w:color w:val="000000"/>
        </w:rPr>
        <w:t xml:space="preserve"> </w:t>
      </w:r>
      <w:r>
        <w:rPr>
          <w:color w:val="000000"/>
        </w:rPr>
        <w:t>excessive</w:t>
      </w:r>
      <w:r>
        <w:rPr>
          <w:rFonts w:hint="cs"/>
          <w:color w:val="000000"/>
        </w:rPr>
        <w:t xml:space="preserve"> </w:t>
      </w:r>
      <w:r>
        <w:rPr>
          <w:color w:val="000000"/>
        </w:rPr>
        <w:t>time</w:t>
      </w:r>
      <w:r>
        <w:rPr>
          <w:rFonts w:hint="cs"/>
          <w:color w:val="000000"/>
        </w:rPr>
        <w:t xml:space="preserve"> pressure</w:t>
      </w:r>
      <w:r w:rsidR="000B38AC">
        <w:rPr>
          <w:color w:val="000000"/>
        </w:rPr>
        <w:t>;</w:t>
      </w:r>
      <w:r w:rsidRPr="00E701FC">
        <w:rPr>
          <w:rFonts w:hint="cs"/>
          <w:color w:val="000000"/>
        </w:rPr>
        <w:t xml:space="preserve"> and family reasons</w:t>
      </w:r>
      <w:r w:rsidR="00A62A89">
        <w:rPr>
          <w:color w:val="000000"/>
        </w:rPr>
        <w:t xml:space="preserve"> (National Centre for Vocational Research [NCVER], 2025)</w:t>
      </w:r>
      <w:r w:rsidRPr="00E701FC">
        <w:rPr>
          <w:rFonts w:hint="cs"/>
        </w:rPr>
        <w:t xml:space="preserve">. </w:t>
      </w:r>
    </w:p>
    <w:p w14:paraId="4C1C000D" w14:textId="28754D0B" w:rsidR="00E80EB2" w:rsidRPr="00E701FC" w:rsidRDefault="00E80EB2" w:rsidP="00E80EB2">
      <w:pPr>
        <w:pStyle w:val="JANZSSABodycopy"/>
      </w:pPr>
      <w:r w:rsidRPr="00E701FC">
        <w:rPr>
          <w:rFonts w:hint="cs"/>
        </w:rPr>
        <w:t>Research tracking completion patterns suggests that conventional completion metrics can mask other forms of ‘training success’, but they nonetheless highlight the role of personal barriers for priority cohorts (</w:t>
      </w:r>
      <w:proofErr w:type="spellStart"/>
      <w:r w:rsidRPr="00E701FC">
        <w:rPr>
          <w:rFonts w:hint="cs"/>
        </w:rPr>
        <w:t>Wibrow</w:t>
      </w:r>
      <w:proofErr w:type="spellEnd"/>
      <w:r w:rsidRPr="00E701FC">
        <w:rPr>
          <w:rFonts w:hint="cs"/>
        </w:rPr>
        <w:t xml:space="preserve"> et al., 2024). These findings reinforce the need to address both individual wellbeing and structural determinants that affect persistence and achievement.</w:t>
      </w:r>
    </w:p>
    <w:p w14:paraId="693AE2E3" w14:textId="4CADA185" w:rsidR="00E80EB2" w:rsidRPr="00E701FC" w:rsidRDefault="00E80EB2" w:rsidP="00E80EB2">
      <w:pPr>
        <w:pStyle w:val="JANZSSAHeading1"/>
      </w:pPr>
      <w:r w:rsidRPr="00E701FC">
        <w:rPr>
          <w:rFonts w:hint="cs"/>
        </w:rPr>
        <w:t xml:space="preserve">Who </w:t>
      </w:r>
      <w:r w:rsidR="00CD076D">
        <w:t>a</w:t>
      </w:r>
      <w:r w:rsidRPr="00E701FC">
        <w:rPr>
          <w:rFonts w:hint="cs"/>
        </w:rPr>
        <w:t xml:space="preserve">re </w:t>
      </w:r>
      <w:r w:rsidR="00CD076D">
        <w:t>o</w:t>
      </w:r>
      <w:r w:rsidRPr="00E701FC">
        <w:rPr>
          <w:rFonts w:hint="cs"/>
        </w:rPr>
        <w:t xml:space="preserve">ur </w:t>
      </w:r>
      <w:r w:rsidR="00CD076D">
        <w:t>s</w:t>
      </w:r>
      <w:r w:rsidRPr="00E701FC">
        <w:rPr>
          <w:rFonts w:hint="cs"/>
        </w:rPr>
        <w:t xml:space="preserve">tudents? Diversity, </w:t>
      </w:r>
      <w:r w:rsidR="00CD076D">
        <w:t>e</w:t>
      </w:r>
      <w:r w:rsidRPr="00E701FC">
        <w:rPr>
          <w:rFonts w:hint="cs"/>
        </w:rPr>
        <w:t>quity</w:t>
      </w:r>
      <w:r w:rsidR="0092630B">
        <w:t>,</w:t>
      </w:r>
      <w:r w:rsidRPr="00E701FC">
        <w:rPr>
          <w:rFonts w:hint="cs"/>
        </w:rPr>
        <w:t xml:space="preserve"> and </w:t>
      </w:r>
      <w:r w:rsidR="00CD076D">
        <w:t>i</w:t>
      </w:r>
      <w:r w:rsidRPr="00E701FC">
        <w:rPr>
          <w:rFonts w:hint="cs"/>
        </w:rPr>
        <w:t>ntersectionality</w:t>
      </w:r>
    </w:p>
    <w:p w14:paraId="131F1B73" w14:textId="77777777" w:rsidR="00E80EB2" w:rsidRDefault="00E80EB2" w:rsidP="00E80EB2">
      <w:pPr>
        <w:pStyle w:val="JANZSSABodycopy"/>
      </w:pPr>
      <w:r w:rsidRPr="00E701FC">
        <w:rPr>
          <w:rFonts w:hint="cs"/>
        </w:rPr>
        <w:t xml:space="preserve">TAFE student communities reflect Australia’s diversity. Many </w:t>
      </w:r>
      <w:r>
        <w:t xml:space="preserve">students </w:t>
      </w:r>
      <w:r w:rsidRPr="00E701FC">
        <w:rPr>
          <w:rFonts w:hint="cs"/>
        </w:rPr>
        <w:t>stud</w:t>
      </w:r>
      <w:r>
        <w:t>y</w:t>
      </w:r>
      <w:r w:rsidRPr="00E701FC">
        <w:rPr>
          <w:rFonts w:hint="cs"/>
        </w:rPr>
        <w:t xml:space="preserve"> on short, intensive timetables</w:t>
      </w:r>
      <w:r>
        <w:t>, while</w:t>
      </w:r>
      <w:r w:rsidRPr="00E701FC">
        <w:rPr>
          <w:rFonts w:hint="cs"/>
        </w:rPr>
        <w:t xml:space="preserve"> others are in multi‑year apprenticeships</w:t>
      </w:r>
      <w:r>
        <w:t>. A</w:t>
      </w:r>
      <w:r w:rsidRPr="00E701FC">
        <w:rPr>
          <w:rFonts w:hint="cs"/>
        </w:rPr>
        <w:t xml:space="preserve">ges range from mid‑teens to later adulthood. </w:t>
      </w:r>
      <w:r>
        <w:t>Therefore, s</w:t>
      </w:r>
      <w:r w:rsidRPr="00E701FC">
        <w:rPr>
          <w:rFonts w:hint="cs"/>
        </w:rPr>
        <w:t xml:space="preserve">tudent services increasingly support equity cohorts whose pathways differ markedly from </w:t>
      </w:r>
      <w:r>
        <w:t xml:space="preserve">those of </w:t>
      </w:r>
      <w:r w:rsidRPr="00E701FC">
        <w:rPr>
          <w:rFonts w:hint="cs"/>
        </w:rPr>
        <w:t xml:space="preserve">typical university populations. </w:t>
      </w:r>
    </w:p>
    <w:p w14:paraId="2B6CBD5B" w14:textId="391DCB2A" w:rsidR="00E80EB2" w:rsidRPr="00E701FC" w:rsidRDefault="00E80EB2" w:rsidP="00E80EB2">
      <w:pPr>
        <w:pStyle w:val="JANZSSABodycopy"/>
      </w:pPr>
      <w:r w:rsidRPr="00E701FC">
        <w:rPr>
          <w:rFonts w:hint="cs"/>
        </w:rPr>
        <w:t>Internal service data and national youth surveys suggest that First Nations young people and gender‑diverse students are more likely to indicate plans for TAFE pathways</w:t>
      </w:r>
      <w:r>
        <w:t>.</w:t>
      </w:r>
      <w:r w:rsidRPr="00E701FC">
        <w:rPr>
          <w:rFonts w:hint="cs"/>
        </w:rPr>
        <w:t xml:space="preserve"> </w:t>
      </w:r>
      <w:r>
        <w:t xml:space="preserve">These students are also </w:t>
      </w:r>
      <w:r w:rsidRPr="00E701FC">
        <w:rPr>
          <w:rFonts w:hint="cs"/>
        </w:rPr>
        <w:t>at elevated risk of distress and discrimination, underscoring the importance of culturally safe, inclusive</w:t>
      </w:r>
      <w:r w:rsidR="0092630B">
        <w:t>,</w:t>
      </w:r>
      <w:r w:rsidRPr="00E701FC">
        <w:rPr>
          <w:rFonts w:hint="cs"/>
        </w:rPr>
        <w:t xml:space="preserve"> and co‑designed supports (</w:t>
      </w:r>
      <w:r w:rsidR="00007937" w:rsidRPr="00007937">
        <w:t>McHale</w:t>
      </w:r>
      <w:r w:rsidR="00007937">
        <w:t xml:space="preserve"> et al.</w:t>
      </w:r>
      <w:r w:rsidRPr="00E701FC">
        <w:rPr>
          <w:rFonts w:hint="cs"/>
        </w:rPr>
        <w:t>, 2024).</w:t>
      </w:r>
    </w:p>
    <w:p w14:paraId="05A916D7" w14:textId="40A75805" w:rsidR="00E80EB2" w:rsidRDefault="00E80EB2" w:rsidP="00E80EB2">
      <w:pPr>
        <w:pStyle w:val="JANZSSABodycopy"/>
      </w:pPr>
      <w:r w:rsidRPr="00E701FC">
        <w:rPr>
          <w:rFonts w:hint="cs"/>
        </w:rPr>
        <w:t xml:space="preserve">A </w:t>
      </w:r>
      <w:r w:rsidR="001B1F85">
        <w:t xml:space="preserve">study </w:t>
      </w:r>
      <w:r w:rsidRPr="00E701FC">
        <w:rPr>
          <w:rFonts w:hint="cs"/>
        </w:rPr>
        <w:t xml:space="preserve">examining post-school outcomes for young autistic adults found </w:t>
      </w:r>
      <w:r w:rsidR="001B1F85">
        <w:t xml:space="preserve">autistic adults were significantly more likely than non-autistic adults to attend TAFE rather than university </w:t>
      </w:r>
      <w:r w:rsidRPr="00E701FC">
        <w:rPr>
          <w:rFonts w:hint="cs"/>
        </w:rPr>
        <w:t>(Flower et al., 202</w:t>
      </w:r>
      <w:r>
        <w:t>1</w:t>
      </w:r>
      <w:r w:rsidRPr="00E701FC">
        <w:rPr>
          <w:rFonts w:hint="cs"/>
        </w:rPr>
        <w:t xml:space="preserve">). In many TAFEs, a substantial proportion of students accessing disability inclusion identify as neurodivergent, and counselling teams see students with neurodivergent traits awaiting formal assessment. Diagnostic delays sometimes </w:t>
      </w:r>
      <w:r>
        <w:t xml:space="preserve">cause </w:t>
      </w:r>
      <w:r w:rsidRPr="00E701FC">
        <w:rPr>
          <w:rFonts w:hint="cs"/>
        </w:rPr>
        <w:t>semester</w:t>
      </w:r>
      <w:r>
        <w:t>-</w:t>
      </w:r>
      <w:r w:rsidRPr="00E701FC">
        <w:rPr>
          <w:rFonts w:hint="cs"/>
        </w:rPr>
        <w:t xml:space="preserve">long </w:t>
      </w:r>
      <w:r>
        <w:t xml:space="preserve">delays in academic </w:t>
      </w:r>
      <w:r w:rsidRPr="00E701FC">
        <w:rPr>
          <w:rFonts w:hint="cs"/>
        </w:rPr>
        <w:t xml:space="preserve">adjustments. Stigma can </w:t>
      </w:r>
      <w:r>
        <w:t xml:space="preserve">further </w:t>
      </w:r>
      <w:r w:rsidRPr="00E701FC">
        <w:rPr>
          <w:rFonts w:hint="cs"/>
        </w:rPr>
        <w:t xml:space="preserve">deter disclosure, and family dynamics can complicate assessment. </w:t>
      </w:r>
    </w:p>
    <w:p w14:paraId="42DDF439" w14:textId="2796C940" w:rsidR="00E80EB2" w:rsidRPr="00E701FC" w:rsidRDefault="00E80EB2" w:rsidP="00E80EB2">
      <w:pPr>
        <w:pStyle w:val="JANZSSABodycopy"/>
      </w:pPr>
      <w:r w:rsidRPr="00E701FC">
        <w:rPr>
          <w:rFonts w:hint="cs"/>
        </w:rPr>
        <w:t xml:space="preserve">An anxiety‑informed, strengths‑based, predictable service design is therefore critical to access and retention at TAFE. </w:t>
      </w:r>
      <w:r w:rsidR="00B1521A">
        <w:t>N</w:t>
      </w:r>
      <w:r w:rsidRPr="00E701FC">
        <w:rPr>
          <w:rFonts w:hint="cs"/>
        </w:rPr>
        <w:t>eurodivergent learner</w:t>
      </w:r>
      <w:r w:rsidR="00B1521A">
        <w:t xml:space="preserve"> attrition </w:t>
      </w:r>
      <w:r w:rsidRPr="00E701FC">
        <w:rPr>
          <w:rFonts w:hint="cs"/>
        </w:rPr>
        <w:t xml:space="preserve">from training pathways </w:t>
      </w:r>
      <w:r>
        <w:t xml:space="preserve">such as </w:t>
      </w:r>
      <w:r w:rsidRPr="00E701FC">
        <w:rPr>
          <w:rFonts w:hint="cs"/>
        </w:rPr>
        <w:t>care and community support sectors</w:t>
      </w:r>
      <w:r>
        <w:t xml:space="preserve"> and building and construction, </w:t>
      </w:r>
      <w:r w:rsidRPr="00E701FC">
        <w:rPr>
          <w:rFonts w:hint="cs"/>
        </w:rPr>
        <w:t xml:space="preserve">where </w:t>
      </w:r>
      <w:r w:rsidR="00B1521A">
        <w:t xml:space="preserve">labour </w:t>
      </w:r>
      <w:r w:rsidRPr="00E701FC">
        <w:rPr>
          <w:rFonts w:hint="cs"/>
        </w:rPr>
        <w:t>shortages are already significant</w:t>
      </w:r>
      <w:r w:rsidR="00227E9A">
        <w:t>,</w:t>
      </w:r>
      <w:r w:rsidRPr="00E701FC">
        <w:rPr>
          <w:rFonts w:hint="cs"/>
        </w:rPr>
        <w:t xml:space="preserve"> mak</w:t>
      </w:r>
      <w:r>
        <w:t>e</w:t>
      </w:r>
      <w:r w:rsidRPr="00E701FC">
        <w:rPr>
          <w:rFonts w:hint="cs"/>
        </w:rPr>
        <w:t xml:space="preserve"> targeted, neuro</w:t>
      </w:r>
      <w:r w:rsidR="00C84F86">
        <w:t>-</w:t>
      </w:r>
      <w:r w:rsidRPr="00E701FC">
        <w:rPr>
          <w:rFonts w:hint="cs"/>
        </w:rPr>
        <w:t>affirming supports a sector-level priority, not only a student wel</w:t>
      </w:r>
      <w:r>
        <w:t>lbeing</w:t>
      </w:r>
      <w:r w:rsidRPr="00E701FC">
        <w:rPr>
          <w:rFonts w:hint="cs"/>
        </w:rPr>
        <w:t xml:space="preserve"> concern</w:t>
      </w:r>
      <w:r>
        <w:t>.</w:t>
      </w:r>
    </w:p>
    <w:p w14:paraId="57EEF86F" w14:textId="13D5080E" w:rsidR="00E80EB2" w:rsidRPr="00E701FC" w:rsidRDefault="00E80EB2" w:rsidP="00E80EB2">
      <w:pPr>
        <w:pStyle w:val="JANZSSAHeading1"/>
      </w:pPr>
      <w:r w:rsidRPr="00A64F48">
        <w:lastRenderedPageBreak/>
        <w:t xml:space="preserve">Beyond </w:t>
      </w:r>
      <w:r w:rsidR="00CD076D" w:rsidRPr="00A64F48">
        <w:t>t</w:t>
      </w:r>
      <w:r w:rsidRPr="00A64F48">
        <w:t xml:space="preserve">he </w:t>
      </w:r>
      <w:r w:rsidR="00CD076D" w:rsidRPr="00A64F48">
        <w:t>t</w:t>
      </w:r>
      <w:r w:rsidRPr="00A64F48">
        <w:t xml:space="preserve">herapy </w:t>
      </w:r>
      <w:r w:rsidR="00CD076D" w:rsidRPr="00A64F48">
        <w:t>r</w:t>
      </w:r>
      <w:r w:rsidRPr="00A64F48">
        <w:t xml:space="preserve">oom: The </w:t>
      </w:r>
      <w:r w:rsidR="00CD076D" w:rsidRPr="00A64F48">
        <w:t>e</w:t>
      </w:r>
      <w:r w:rsidRPr="00A64F48">
        <w:t xml:space="preserve">volving </w:t>
      </w:r>
      <w:r w:rsidR="00CD076D" w:rsidRPr="00A64F48">
        <w:t>r</w:t>
      </w:r>
      <w:r w:rsidRPr="00A64F48">
        <w:t>ol</w:t>
      </w:r>
      <w:r w:rsidRPr="00E701FC">
        <w:t xml:space="preserve">e of </w:t>
      </w:r>
      <w:r w:rsidRPr="00E701FC">
        <w:rPr>
          <w:rFonts w:hint="cs"/>
        </w:rPr>
        <w:t xml:space="preserve">TAFE </w:t>
      </w:r>
      <w:r w:rsidR="00CD076D">
        <w:t>c</w:t>
      </w:r>
      <w:r w:rsidRPr="00E701FC">
        <w:t>ounsellors</w:t>
      </w:r>
    </w:p>
    <w:p w14:paraId="05BDB057" w14:textId="11C02CE9" w:rsidR="00E80EB2" w:rsidRPr="00E701FC" w:rsidRDefault="00E80EB2" w:rsidP="00E80EB2">
      <w:pPr>
        <w:pStyle w:val="JANZSSABodycopy"/>
      </w:pPr>
      <w:r w:rsidRPr="00E701FC">
        <w:rPr>
          <w:rFonts w:hint="cs"/>
        </w:rPr>
        <w:t>Across the education sector, counsellors now routinely partner with faculty and student‑facing teams to broaden reach and impact. Common activities include co‑facilitated classroom wellbeing sessions</w:t>
      </w:r>
      <w:r>
        <w:t xml:space="preserve"> and</w:t>
      </w:r>
      <w:r w:rsidRPr="00E701FC">
        <w:rPr>
          <w:rFonts w:hint="cs"/>
        </w:rPr>
        <w:t xml:space="preserve"> staff training on recognising distress and responding to disclosure</w:t>
      </w:r>
      <w:r>
        <w:t xml:space="preserve">. Counsellors also provide </w:t>
      </w:r>
      <w:r>
        <w:rPr>
          <w:rFonts w:hint="cs"/>
        </w:rPr>
        <w:t xml:space="preserve">input </w:t>
      </w:r>
      <w:r w:rsidR="00A64F48">
        <w:t>in</w:t>
      </w:r>
      <w:r>
        <w:rPr>
          <w:rFonts w:hint="cs"/>
        </w:rPr>
        <w:t>to learner access plans and reasonable adjustments, while facilitating targeted group programs that address executive function, anxiety management, placement</w:t>
      </w:r>
      <w:r>
        <w:rPr>
          <w:rFonts w:hint="cs"/>
        </w:rPr>
        <w:noBreakHyphen/>
        <w:t>related stress,</w:t>
      </w:r>
      <w:r w:rsidRPr="00E701FC">
        <w:rPr>
          <w:rFonts w:hint="cs"/>
        </w:rPr>
        <w:t xml:space="preserve"> and help‑seeking. These collaborative roles enable counsellors to act as systems integrators</w:t>
      </w:r>
      <w:r>
        <w:t>.</w:t>
      </w:r>
      <w:r w:rsidRPr="00E701FC">
        <w:rPr>
          <w:rFonts w:hint="cs"/>
        </w:rPr>
        <w:t xml:space="preserve"> Recognising the demand for mental health supports at universit</w:t>
      </w:r>
      <w:r>
        <w:t>ies,</w:t>
      </w:r>
      <w:r w:rsidRPr="00E701FC">
        <w:rPr>
          <w:rFonts w:hint="cs"/>
        </w:rPr>
        <w:t xml:space="preserve"> </w:t>
      </w:r>
      <w:r>
        <w:t>best-</w:t>
      </w:r>
      <w:r w:rsidRPr="00E701FC">
        <w:rPr>
          <w:rFonts w:hint="cs"/>
        </w:rPr>
        <w:t xml:space="preserve">practice recommendations suggest adopting a settings-based strategy, co-designed with students </w:t>
      </w:r>
      <w:r>
        <w:t>and</w:t>
      </w:r>
      <w:r w:rsidRPr="00E701FC">
        <w:rPr>
          <w:rFonts w:hint="cs"/>
        </w:rPr>
        <w:t xml:space="preserve"> the mental health sector</w:t>
      </w:r>
      <w:r>
        <w:t>,</w:t>
      </w:r>
      <w:r w:rsidRPr="00E701FC">
        <w:rPr>
          <w:rFonts w:hint="cs"/>
        </w:rPr>
        <w:t xml:space="preserve"> to improve student mental health and wellbeing (Orygen, 2020). Scoping reviews of international VET mental health</w:t>
      </w:r>
      <w:r w:rsidR="00B217B7">
        <w:t xml:space="preserve"> </w:t>
      </w:r>
      <w:r w:rsidR="005B581F">
        <w:t>research</w:t>
      </w:r>
      <w:r w:rsidRPr="00E701FC">
        <w:rPr>
          <w:rFonts w:hint="cs"/>
        </w:rPr>
        <w:t xml:space="preserve"> highlight the importance of supportive school environments, vocational identity, and physical activity in promoting positive mental health, with even small interventions having outsized effects due to interrelated </w:t>
      </w:r>
      <w:r>
        <w:t>dimensions</w:t>
      </w:r>
      <w:r w:rsidRPr="00E701FC">
        <w:rPr>
          <w:rFonts w:hint="cs"/>
        </w:rPr>
        <w:t xml:space="preserve"> </w:t>
      </w:r>
      <w:r>
        <w:t>of wellbeing</w:t>
      </w:r>
      <w:r w:rsidRPr="00E701FC">
        <w:rPr>
          <w:rFonts w:hint="cs"/>
        </w:rPr>
        <w:t xml:space="preserve"> (Solberg et al., 2023).</w:t>
      </w:r>
    </w:p>
    <w:p w14:paraId="5922B04D" w14:textId="1E977BEB" w:rsidR="00E80EB2" w:rsidRDefault="00E80EB2" w:rsidP="00E80EB2">
      <w:pPr>
        <w:pStyle w:val="JANZSSABodycopy"/>
      </w:pPr>
      <w:r w:rsidRPr="00E701FC">
        <w:rPr>
          <w:rFonts w:hint="cs"/>
        </w:rPr>
        <w:t xml:space="preserve">A longitudinal study found marked increases in distress </w:t>
      </w:r>
      <w:r>
        <w:t xml:space="preserve">among university students </w:t>
      </w:r>
      <w:r w:rsidRPr="00E701FC">
        <w:rPr>
          <w:rFonts w:hint="cs"/>
        </w:rPr>
        <w:t xml:space="preserve">from 2019 to 2020 that did not fully revert </w:t>
      </w:r>
      <w:r>
        <w:t xml:space="preserve">after the </w:t>
      </w:r>
      <w:r w:rsidRPr="00E701FC">
        <w:rPr>
          <w:rFonts w:hint="cs"/>
        </w:rPr>
        <w:t>COVID</w:t>
      </w:r>
      <w:r w:rsidR="00A64F48">
        <w:t>-19</w:t>
      </w:r>
      <w:r w:rsidRPr="00E701FC">
        <w:rPr>
          <w:rFonts w:hint="cs"/>
        </w:rPr>
        <w:t xml:space="preserve"> lockdown, underscoring the need for sustained, system‑level responses for incoming cohorts (Dingle et al., 2024). Analyses during and after pandemic lockdowns demonstrated that financial support schemes buffered anxiety and depression, while subsequent cost‑of‑living pressures saw renewed increases in financial stress and psychological distress (ACOSS, 2020; AIHW, 2025).</w:t>
      </w:r>
      <w:r>
        <w:t xml:space="preserve"> </w:t>
      </w:r>
      <w:r w:rsidRPr="00E701FC">
        <w:rPr>
          <w:rFonts w:hint="cs"/>
        </w:rPr>
        <w:t>For international students and young renters, financial stress predicts disruptive housing events, isolation</w:t>
      </w:r>
      <w:r>
        <w:t>,</w:t>
      </w:r>
      <w:r w:rsidRPr="00E701FC">
        <w:rPr>
          <w:rFonts w:hint="cs"/>
        </w:rPr>
        <w:t xml:space="preserve"> and poorer wellbeing, pointing to the value of integrated supports</w:t>
      </w:r>
      <w:r>
        <w:t>,</w:t>
      </w:r>
      <w:r w:rsidRPr="00E701FC">
        <w:rPr>
          <w:rFonts w:hint="cs"/>
        </w:rPr>
        <w:t xml:space="preserve"> such as welfare and counselling pathways on campus (Wilson et al., 2023).</w:t>
      </w:r>
      <w:r>
        <w:t xml:space="preserve"> </w:t>
      </w:r>
      <w:r w:rsidRPr="00E701FC">
        <w:rPr>
          <w:rFonts w:hint="cs"/>
        </w:rPr>
        <w:t>Students with disability who have accessed university student services express a need for supports to be more student</w:t>
      </w:r>
      <w:r>
        <w:t>-</w:t>
      </w:r>
      <w:r w:rsidRPr="00E701FC">
        <w:rPr>
          <w:rFonts w:hint="cs"/>
        </w:rPr>
        <w:t>centred, personali</w:t>
      </w:r>
      <w:r>
        <w:t>s</w:t>
      </w:r>
      <w:r w:rsidRPr="00E701FC">
        <w:rPr>
          <w:rFonts w:hint="cs"/>
        </w:rPr>
        <w:t>ed, accessible</w:t>
      </w:r>
      <w:r w:rsidR="00316C91">
        <w:t>,</w:t>
      </w:r>
      <w:r w:rsidRPr="00E701FC">
        <w:rPr>
          <w:rFonts w:hint="cs"/>
        </w:rPr>
        <w:t xml:space="preserve"> and empowering (Hitches et al., 2025).</w:t>
      </w:r>
    </w:p>
    <w:p w14:paraId="22D26ABE" w14:textId="0A5B2E06" w:rsidR="00E80EB2" w:rsidRPr="00C44031" w:rsidRDefault="00E80EB2" w:rsidP="00E80EB2">
      <w:pPr>
        <w:pStyle w:val="JANZSSABodycopy"/>
      </w:pPr>
      <w:r w:rsidRPr="00E701FC">
        <w:rPr>
          <w:rFonts w:hint="cs"/>
        </w:rPr>
        <w:t>For neurodivergent students, the literature emphasises the benefits of predictable structures, reduced sensory load, explicit teaching of executive</w:t>
      </w:r>
      <w:r w:rsidR="00316C91">
        <w:t xml:space="preserve"> </w:t>
      </w:r>
      <w:r w:rsidRPr="00E701FC">
        <w:rPr>
          <w:rFonts w:hint="cs"/>
        </w:rPr>
        <w:t>function skills, and staff training that moves beyond compliance to strengths‑based practice (Gibbs et al., 2025</w:t>
      </w:r>
      <w:r w:rsidR="004D4C0F">
        <w:t>; Hillson, 2025</w:t>
      </w:r>
      <w:r w:rsidRPr="00E701FC">
        <w:rPr>
          <w:rFonts w:hint="cs"/>
        </w:rPr>
        <w:t xml:space="preserve">). This shows that while existing counselling supports </w:t>
      </w:r>
      <w:r>
        <w:t>help</w:t>
      </w:r>
      <w:r w:rsidRPr="00E701FC">
        <w:rPr>
          <w:rFonts w:hint="cs"/>
        </w:rPr>
        <w:t xml:space="preserve"> students</w:t>
      </w:r>
      <w:r>
        <w:t>,</w:t>
      </w:r>
      <w:r w:rsidRPr="00E701FC">
        <w:rPr>
          <w:rFonts w:hint="cs"/>
        </w:rPr>
        <w:t xml:space="preserve"> more targeted and scaffolded supports are required at </w:t>
      </w:r>
      <w:r>
        <w:t>the</w:t>
      </w:r>
      <w:r w:rsidRPr="00E701FC">
        <w:rPr>
          <w:rFonts w:hint="cs"/>
        </w:rPr>
        <w:t xml:space="preserve"> institutional level. </w:t>
      </w:r>
    </w:p>
    <w:p w14:paraId="7D55BCA8" w14:textId="40DC8F09" w:rsidR="00E80EB2" w:rsidRPr="00E701FC" w:rsidRDefault="00E80EB2" w:rsidP="00E80EB2">
      <w:pPr>
        <w:pStyle w:val="JANZSSAHeading1"/>
      </w:pPr>
      <w:r w:rsidRPr="00E701FC">
        <w:rPr>
          <w:rFonts w:hint="cs"/>
        </w:rPr>
        <w:t>Good</w:t>
      </w:r>
      <w:r w:rsidR="00BB2099">
        <w:t>-</w:t>
      </w:r>
      <w:r w:rsidR="00CD076D">
        <w:t>p</w:t>
      </w:r>
      <w:r w:rsidRPr="00E701FC">
        <w:t xml:space="preserve">ractice </w:t>
      </w:r>
      <w:r w:rsidR="00CD076D">
        <w:t>r</w:t>
      </w:r>
      <w:r w:rsidRPr="00E701FC">
        <w:t xml:space="preserve">ecommendations: Towards </w:t>
      </w:r>
      <w:r>
        <w:t xml:space="preserve">a </w:t>
      </w:r>
      <w:r w:rsidR="00CD076D">
        <w:t>w</w:t>
      </w:r>
      <w:r w:rsidRPr="00E701FC">
        <w:t>hole‑</w:t>
      </w:r>
      <w:r w:rsidR="00CD076D">
        <w:t>o</w:t>
      </w:r>
      <w:r w:rsidRPr="00E701FC">
        <w:t>f‑</w:t>
      </w:r>
      <w:r w:rsidR="00CD076D">
        <w:t>i</w:t>
      </w:r>
      <w:r w:rsidRPr="00E701FC">
        <w:t xml:space="preserve">nstitution </w:t>
      </w:r>
      <w:r w:rsidR="00CD076D">
        <w:t>d</w:t>
      </w:r>
      <w:r w:rsidRPr="00E701FC">
        <w:t>esign</w:t>
      </w:r>
    </w:p>
    <w:p w14:paraId="5D337DBA" w14:textId="0C159F4D" w:rsidR="00E80EB2" w:rsidRDefault="00E80EB2" w:rsidP="00E80EB2">
      <w:pPr>
        <w:pStyle w:val="JANZSSABodycopy"/>
      </w:pPr>
      <w:r w:rsidRPr="00E701FC">
        <w:rPr>
          <w:rFonts w:hint="cs"/>
        </w:rPr>
        <w:t>Australian universities have advanced settings‑based frameworks to support student wellbeing</w:t>
      </w:r>
      <w:r>
        <w:t>,</w:t>
      </w:r>
      <w:r w:rsidRPr="00E701FC">
        <w:rPr>
          <w:rFonts w:hint="cs"/>
        </w:rPr>
        <w:t xml:space="preserve"> </w:t>
      </w:r>
      <w:r>
        <w:t>which</w:t>
      </w:r>
      <w:r w:rsidRPr="00E701FC">
        <w:rPr>
          <w:rFonts w:hint="cs"/>
        </w:rPr>
        <w:t xml:space="preserve"> can be adapted </w:t>
      </w:r>
      <w:r>
        <w:t>for</w:t>
      </w:r>
      <w:r w:rsidRPr="00E701FC">
        <w:rPr>
          <w:rFonts w:hint="cs"/>
        </w:rPr>
        <w:t xml:space="preserve"> TAFEs. Baik </w:t>
      </w:r>
      <w:r>
        <w:t xml:space="preserve">et al.’s </w:t>
      </w:r>
      <w:r w:rsidRPr="00E701FC">
        <w:rPr>
          <w:rFonts w:hint="cs"/>
        </w:rPr>
        <w:t>(2017) Framework for Promoting Student Mental Wellbeing in Universities outlines five action areas</w:t>
      </w:r>
      <w:r w:rsidR="00316C91">
        <w:t>. These include</w:t>
      </w:r>
      <w:r w:rsidRPr="00E701FC">
        <w:rPr>
          <w:rFonts w:hint="cs"/>
        </w:rPr>
        <w:t xml:space="preserve"> engaging curricula</w:t>
      </w:r>
      <w:r w:rsidR="00316C91">
        <w:t>;</w:t>
      </w:r>
      <w:r>
        <w:t xml:space="preserve"> </w:t>
      </w:r>
      <w:r w:rsidRPr="00E701FC">
        <w:rPr>
          <w:rFonts w:hint="cs"/>
        </w:rPr>
        <w:t>supportive social, physical</w:t>
      </w:r>
      <w:r w:rsidR="00316C91">
        <w:t>,</w:t>
      </w:r>
      <w:r w:rsidRPr="00E701FC">
        <w:rPr>
          <w:rFonts w:hint="cs"/>
        </w:rPr>
        <w:t xml:space="preserve"> and digital environments</w:t>
      </w:r>
      <w:r w:rsidR="00316C91">
        <w:t>;</w:t>
      </w:r>
      <w:r w:rsidRPr="00E701FC">
        <w:rPr>
          <w:rFonts w:hint="cs"/>
        </w:rPr>
        <w:t xml:space="preserve"> community awareness</w:t>
      </w:r>
      <w:r w:rsidR="00316C91">
        <w:t>;</w:t>
      </w:r>
      <w:r w:rsidRPr="00E701FC">
        <w:rPr>
          <w:rFonts w:hint="cs"/>
        </w:rPr>
        <w:t xml:space="preserve"> mental</w:t>
      </w:r>
      <w:r w:rsidR="00316C91">
        <w:t xml:space="preserve"> </w:t>
      </w:r>
      <w:r w:rsidRPr="00E701FC">
        <w:rPr>
          <w:rFonts w:hint="cs"/>
        </w:rPr>
        <w:t>health knowledge and self‑regulation</w:t>
      </w:r>
      <w:r w:rsidR="00316C91">
        <w:t>;</w:t>
      </w:r>
      <w:r w:rsidRPr="00E701FC">
        <w:rPr>
          <w:rFonts w:hint="cs"/>
        </w:rPr>
        <w:t xml:space="preserve"> and access to effective services enabled by policy, participation, resources</w:t>
      </w:r>
      <w:r w:rsidR="00316C91">
        <w:t>,</w:t>
      </w:r>
      <w:r w:rsidRPr="00E701FC">
        <w:rPr>
          <w:rFonts w:hint="cs"/>
        </w:rPr>
        <w:t xml:space="preserve"> and staff development (Baik </w:t>
      </w:r>
      <w:r>
        <w:t>et al.,</w:t>
      </w:r>
      <w:r w:rsidRPr="00E701FC">
        <w:rPr>
          <w:rFonts w:hint="cs"/>
        </w:rPr>
        <w:t xml:space="preserve"> 2017). While the institutional structures differ, the core principles of prevention, inclusion, literacy, access</w:t>
      </w:r>
      <w:r w:rsidR="00DE036A">
        <w:t>,</w:t>
      </w:r>
      <w:r w:rsidRPr="00E701FC">
        <w:rPr>
          <w:rFonts w:hint="cs"/>
        </w:rPr>
        <w:t xml:space="preserve"> and continuous improvement translate well to TAFE.</w:t>
      </w:r>
      <w:r>
        <w:t xml:space="preserve"> </w:t>
      </w:r>
      <w:r w:rsidRPr="00E701FC">
        <w:rPr>
          <w:rFonts w:hint="cs"/>
        </w:rPr>
        <w:t xml:space="preserve">Recent VET guidance echoes these themes. </w:t>
      </w:r>
      <w:r w:rsidR="00F76B71">
        <w:t>NCVER</w:t>
      </w:r>
      <w:r w:rsidRPr="00E701FC">
        <w:rPr>
          <w:rFonts w:hint="cs"/>
        </w:rPr>
        <w:t xml:space="preserve"> (2025) </w:t>
      </w:r>
      <w:r>
        <w:t>highlight</w:t>
      </w:r>
      <w:r w:rsidR="00DE036A">
        <w:t>ed</w:t>
      </w:r>
      <w:r>
        <w:t xml:space="preserve"> the need for </w:t>
      </w:r>
      <w:r w:rsidRPr="00E701FC">
        <w:rPr>
          <w:rFonts w:hint="cs"/>
        </w:rPr>
        <w:t>recent good</w:t>
      </w:r>
      <w:r>
        <w:t>-</w:t>
      </w:r>
      <w:r w:rsidRPr="00E701FC">
        <w:rPr>
          <w:rFonts w:hint="cs"/>
        </w:rPr>
        <w:t xml:space="preserve">practice guidelines to support priority cohorts and sustain engagement throughout the learner journey. </w:t>
      </w:r>
    </w:p>
    <w:p w14:paraId="1B6B3CC9" w14:textId="31B3D9E5" w:rsidR="00E80EB2" w:rsidRPr="00E701FC" w:rsidRDefault="00E80EB2" w:rsidP="00E80EB2">
      <w:pPr>
        <w:pStyle w:val="JANZSSABodycopy"/>
      </w:pPr>
      <w:r w:rsidRPr="00E701FC">
        <w:rPr>
          <w:rFonts w:hint="cs"/>
        </w:rPr>
        <w:t>Good‑practice elements include a whole‑of‑institution approach</w:t>
      </w:r>
      <w:r>
        <w:t>:</w:t>
      </w:r>
      <w:r w:rsidRPr="00E701FC">
        <w:rPr>
          <w:rFonts w:hint="cs"/>
        </w:rPr>
        <w:t xml:space="preserve"> early engagement from pre‑enrolment</w:t>
      </w:r>
      <w:r>
        <w:t>,</w:t>
      </w:r>
      <w:r w:rsidRPr="00E701FC">
        <w:rPr>
          <w:rFonts w:hint="cs"/>
        </w:rPr>
        <w:t xml:space="preserve"> caring trainers as gate‑openers</w:t>
      </w:r>
      <w:r>
        <w:t>,</w:t>
      </w:r>
      <w:r w:rsidRPr="00E701FC">
        <w:rPr>
          <w:rFonts w:hint="cs"/>
        </w:rPr>
        <w:t xml:space="preserve"> strong relationships and messaging tools in </w:t>
      </w:r>
      <w:r w:rsidR="00DE036A">
        <w:t>l</w:t>
      </w:r>
      <w:r w:rsidRPr="00E701FC">
        <w:rPr>
          <w:rFonts w:hint="cs"/>
        </w:rPr>
        <w:t xml:space="preserve">earning </w:t>
      </w:r>
      <w:r w:rsidR="00DE036A">
        <w:t>m</w:t>
      </w:r>
      <w:r w:rsidRPr="00E701FC">
        <w:rPr>
          <w:rFonts w:hint="cs"/>
        </w:rPr>
        <w:t xml:space="preserve">anagement </w:t>
      </w:r>
      <w:r w:rsidR="00DE036A">
        <w:t>s</w:t>
      </w:r>
      <w:r w:rsidRPr="00E701FC">
        <w:rPr>
          <w:rFonts w:hint="cs"/>
        </w:rPr>
        <w:t>ystems</w:t>
      </w:r>
      <w:r>
        <w:t>,</w:t>
      </w:r>
      <w:r w:rsidRPr="00E701FC">
        <w:rPr>
          <w:rFonts w:hint="cs"/>
        </w:rPr>
        <w:t xml:space="preserve"> holistic and individualised supports</w:t>
      </w:r>
      <w:r>
        <w:t>,</w:t>
      </w:r>
      <w:r w:rsidRPr="00E701FC">
        <w:rPr>
          <w:rFonts w:hint="cs"/>
        </w:rPr>
        <w:t xml:space="preserve"> and continuity of support with regular check‑ins and warm external referrals (</w:t>
      </w:r>
      <w:proofErr w:type="spellStart"/>
      <w:r w:rsidRPr="00E701FC">
        <w:rPr>
          <w:rFonts w:hint="cs"/>
        </w:rPr>
        <w:t>Andrahannadi</w:t>
      </w:r>
      <w:proofErr w:type="spellEnd"/>
      <w:r w:rsidRPr="00E701FC">
        <w:rPr>
          <w:rFonts w:hint="cs"/>
        </w:rPr>
        <w:t xml:space="preserve"> &amp; Griffin, 2025). Together, these elements create a blueprint for TAFE wellbeing services to move from reactive, clinic‑only responses to proactive, layered systems of care</w:t>
      </w:r>
      <w:r>
        <w:t xml:space="preserve"> that align with the current </w:t>
      </w:r>
      <w:r w:rsidR="00F76B71" w:rsidRPr="00F76B71">
        <w:t xml:space="preserve">Registered Training Organisation </w:t>
      </w:r>
      <w:r w:rsidR="00F76B71">
        <w:t>(</w:t>
      </w:r>
      <w:r>
        <w:t>RTO</w:t>
      </w:r>
      <w:r w:rsidR="00F76B71">
        <w:t>)</w:t>
      </w:r>
      <w:r>
        <w:t xml:space="preserve"> standards for enhancing student wellbeing (Australian Skills Quality Authority, 2025)</w:t>
      </w:r>
      <w:r w:rsidRPr="00E701FC">
        <w:rPr>
          <w:rFonts w:hint="cs"/>
        </w:rPr>
        <w:t>.</w:t>
      </w:r>
    </w:p>
    <w:p w14:paraId="7C07BA4A" w14:textId="2EBABCC5" w:rsidR="00E80EB2" w:rsidRPr="00E701FC" w:rsidRDefault="00E80EB2" w:rsidP="00E80EB2">
      <w:pPr>
        <w:pStyle w:val="JANZSSABodycopy"/>
      </w:pPr>
      <w:r w:rsidRPr="00522EFE">
        <w:rPr>
          <w:rFonts w:hint="cs"/>
        </w:rPr>
        <w:lastRenderedPageBreak/>
        <w:t xml:space="preserve">The Neurodiversity Initiative proposed in this paper is designed as a direct application of this convergent evidence base, operationalising each of Baik </w:t>
      </w:r>
      <w:r w:rsidRPr="00522EFE">
        <w:t>et al.’s</w:t>
      </w:r>
      <w:r w:rsidRPr="00522EFE">
        <w:rPr>
          <w:rFonts w:hint="cs"/>
        </w:rPr>
        <w:t xml:space="preserve"> (2017) five action areas and NCVER’s (2025) good-practice elements</w:t>
      </w:r>
      <w:r w:rsidRPr="00522EFE">
        <w:t xml:space="preserve">. The initiative is built on </w:t>
      </w:r>
      <w:r w:rsidR="00DF6644">
        <w:t>five</w:t>
      </w:r>
      <w:r w:rsidRPr="00522EFE">
        <w:t xml:space="preserve"> principles: </w:t>
      </w:r>
      <w:r w:rsidRPr="00522EFE">
        <w:rPr>
          <w:rFonts w:hint="cs"/>
        </w:rPr>
        <w:t xml:space="preserve">engaging curricula, supportive environments, community awareness, mental health knowledge and self-regulation, and access to effective services. </w:t>
      </w:r>
      <w:r w:rsidRPr="00522EFE">
        <w:t>This paper provides the rationale and roadmap for</w:t>
      </w:r>
      <w:r w:rsidRPr="00522EFE">
        <w:rPr>
          <w:rFonts w:hint="cs"/>
        </w:rPr>
        <w:t xml:space="preserve"> </w:t>
      </w:r>
      <w:r w:rsidRPr="00522EFE">
        <w:t xml:space="preserve">applying these </w:t>
      </w:r>
      <w:r w:rsidRPr="00522EFE">
        <w:rPr>
          <w:rFonts w:hint="cs"/>
        </w:rPr>
        <w:t xml:space="preserve">principles </w:t>
      </w:r>
      <w:r w:rsidRPr="00522EFE">
        <w:t>to deliver targeted supports for neurodiverse students at TAFE.</w:t>
      </w:r>
      <w:r>
        <w:t xml:space="preserve"> </w:t>
      </w:r>
    </w:p>
    <w:p w14:paraId="4F82AFD4" w14:textId="719EC9F7" w:rsidR="00E80EB2" w:rsidRPr="00E701FC" w:rsidRDefault="00E80EB2" w:rsidP="00E80EB2">
      <w:pPr>
        <w:pStyle w:val="JANZSSAHeading1"/>
      </w:pPr>
      <w:r w:rsidRPr="00E701FC">
        <w:rPr>
          <w:rFonts w:hint="cs"/>
        </w:rPr>
        <w:t xml:space="preserve">A </w:t>
      </w:r>
      <w:r w:rsidR="00CD076D">
        <w:t>p</w:t>
      </w:r>
      <w:r w:rsidRPr="00E701FC">
        <w:t xml:space="preserve">roposed </w:t>
      </w:r>
      <w:r w:rsidR="00773D34">
        <w:t>n</w:t>
      </w:r>
      <w:r w:rsidRPr="00E701FC">
        <w:t xml:space="preserve">eurodiversity </w:t>
      </w:r>
      <w:r w:rsidR="00773D34">
        <w:t>i</w:t>
      </w:r>
      <w:r w:rsidRPr="00E701FC">
        <w:t xml:space="preserve">nitiative for </w:t>
      </w:r>
      <w:r w:rsidR="00CD076D">
        <w:t>s</w:t>
      </w:r>
      <w:r w:rsidRPr="00E701FC">
        <w:t xml:space="preserve">tudents </w:t>
      </w:r>
      <w:r>
        <w:t>a</w:t>
      </w:r>
      <w:r w:rsidRPr="00E701FC">
        <w:t xml:space="preserve">t </w:t>
      </w:r>
      <w:r w:rsidRPr="00E701FC">
        <w:rPr>
          <w:rFonts w:hint="cs"/>
        </w:rPr>
        <w:t>TAFE</w:t>
      </w:r>
    </w:p>
    <w:p w14:paraId="625DB644" w14:textId="77777777" w:rsidR="00E80EB2" w:rsidRPr="00E80EB2" w:rsidRDefault="00E80EB2" w:rsidP="00E80EB2">
      <w:pPr>
        <w:pStyle w:val="JANZSSABodycopy"/>
      </w:pPr>
      <w:r w:rsidRPr="00E80EB2">
        <w:t>Neurodivergent students encounter barriers to engagement, access, and peer connection under standard, largely reactive support models. This contributes to a reduced sense of belonging, increased psychological distress, and under‑utilisation of existing services. There is a clear opportunity to implement a co‑designed, accessible model that proactively addresses these gaps and provides defensible data on what works in the VET context.</w:t>
      </w:r>
    </w:p>
    <w:p w14:paraId="63A03719" w14:textId="4EFEBDB5" w:rsidR="00E80EB2" w:rsidRPr="00851CF5" w:rsidRDefault="00E80EB2" w:rsidP="00E80EB2">
      <w:pPr>
        <w:pStyle w:val="JANZSSAHeading2"/>
        <w:rPr>
          <w:rFonts w:cs="Times New Roman"/>
          <w:color w:val="000000" w:themeColor="text1"/>
        </w:rPr>
      </w:pPr>
      <w:r w:rsidRPr="00851CF5">
        <w:rPr>
          <w:rFonts w:cs="Times New Roman" w:hint="cs"/>
          <w:color w:val="000000" w:themeColor="text1"/>
        </w:rPr>
        <w:t xml:space="preserve">Aims and </w:t>
      </w:r>
      <w:r w:rsidR="00CD076D">
        <w:rPr>
          <w:rFonts w:cs="Times New Roman"/>
          <w:color w:val="000000" w:themeColor="text1"/>
        </w:rPr>
        <w:t>o</w:t>
      </w:r>
      <w:r w:rsidRPr="00851CF5">
        <w:rPr>
          <w:rFonts w:cs="Times New Roman" w:hint="cs"/>
          <w:color w:val="000000" w:themeColor="text1"/>
        </w:rPr>
        <w:t xml:space="preserve">bjectives </w:t>
      </w:r>
    </w:p>
    <w:p w14:paraId="146EA72E" w14:textId="71FF9521" w:rsidR="00E80EB2" w:rsidRDefault="00E80EB2" w:rsidP="00E80EB2">
      <w:pPr>
        <w:pStyle w:val="JANZSSABodycopy"/>
      </w:pPr>
      <w:r w:rsidRPr="00E701FC">
        <w:rPr>
          <w:rFonts w:hint="cs"/>
        </w:rPr>
        <w:t>The Neurodiversity Initiative is designed around four interconnected aims: to develop a co-designed, neuro</w:t>
      </w:r>
      <w:r w:rsidR="00C84F86">
        <w:t>-</w:t>
      </w:r>
      <w:r w:rsidRPr="00E701FC">
        <w:rPr>
          <w:rFonts w:hint="cs"/>
        </w:rPr>
        <w:t>affirming support model for neurodivergent learners in VET; to evaluate its effectiveness in improving student engagement, belonging</w:t>
      </w:r>
      <w:r w:rsidR="00DF6644">
        <w:t>,</w:t>
      </w:r>
      <w:r w:rsidRPr="00E701FC">
        <w:rPr>
          <w:rFonts w:hint="cs"/>
        </w:rPr>
        <w:t xml:space="preserve"> and retention; to examine its impact on workforce readiness and transition outcomes; and to contribute evidence to the emerging field of inclusive education in vocational training contexts. </w:t>
      </w:r>
    </w:p>
    <w:p w14:paraId="7410552B" w14:textId="434B276B" w:rsidR="00E80EB2" w:rsidRPr="00E701FC" w:rsidRDefault="00E80EB2" w:rsidP="00E80EB2">
      <w:pPr>
        <w:pStyle w:val="JANZSSABodycopy"/>
        <w:rPr>
          <w:b/>
        </w:rPr>
      </w:pPr>
      <w:r w:rsidRPr="00E701FC">
        <w:rPr>
          <w:rFonts w:hint="cs"/>
        </w:rPr>
        <w:t>These aims reflect a deliberate shift in outcomes</w:t>
      </w:r>
      <w:r>
        <w:t>,</w:t>
      </w:r>
      <w:r w:rsidRPr="00E701FC">
        <w:rPr>
          <w:rFonts w:hint="cs"/>
        </w:rPr>
        <w:t xml:space="preserve"> </w:t>
      </w:r>
      <w:r>
        <w:t>moving</w:t>
      </w:r>
      <w:r w:rsidRPr="00E701FC">
        <w:rPr>
          <w:rFonts w:hint="cs"/>
        </w:rPr>
        <w:t xml:space="preserve"> beyond engagement or course completion to employment readiness. In </w:t>
      </w:r>
      <w:r w:rsidR="00956B48">
        <w:t>VET</w:t>
      </w:r>
      <w:r w:rsidRPr="00E701FC">
        <w:rPr>
          <w:rFonts w:hint="cs"/>
        </w:rPr>
        <w:t xml:space="preserve"> sectors with significant workforce shortages</w:t>
      </w:r>
      <w:r>
        <w:t>,</w:t>
      </w:r>
      <w:r w:rsidRPr="00E701FC">
        <w:rPr>
          <w:rFonts w:hint="cs"/>
        </w:rPr>
        <w:t xml:space="preserve"> such as </w:t>
      </w:r>
      <w:r>
        <w:t xml:space="preserve">the </w:t>
      </w:r>
      <w:r w:rsidRPr="00E701FC">
        <w:rPr>
          <w:rFonts w:hint="cs"/>
        </w:rPr>
        <w:t>care economy</w:t>
      </w:r>
      <w:r>
        <w:t>,</w:t>
      </w:r>
      <w:r w:rsidRPr="00E701FC">
        <w:rPr>
          <w:rFonts w:hint="cs"/>
        </w:rPr>
        <w:t xml:space="preserve"> including aged care, disability services</w:t>
      </w:r>
      <w:r w:rsidR="00DF6644">
        <w:t>,</w:t>
      </w:r>
      <w:r w:rsidRPr="00E701FC">
        <w:rPr>
          <w:rFonts w:hint="cs"/>
        </w:rPr>
        <w:t xml:space="preserve"> and community support, improving the retention and workplace transition of neurodivergent learners is both an educational imperative and a workforce development priority.</w:t>
      </w:r>
    </w:p>
    <w:p w14:paraId="31A03B13" w14:textId="6BA8BD18" w:rsidR="00E80EB2" w:rsidRPr="00E701FC" w:rsidRDefault="00E80EB2" w:rsidP="00E80EB2">
      <w:pPr>
        <w:pStyle w:val="JANZSSAHeading2"/>
      </w:pPr>
      <w:r w:rsidRPr="00E701FC">
        <w:rPr>
          <w:rFonts w:hint="cs"/>
        </w:rPr>
        <w:t xml:space="preserve">Theoretical </w:t>
      </w:r>
      <w:r w:rsidR="00CD076D">
        <w:t>f</w:t>
      </w:r>
      <w:r w:rsidRPr="00E701FC">
        <w:rPr>
          <w:rFonts w:hint="cs"/>
        </w:rPr>
        <w:t xml:space="preserve">ramework </w:t>
      </w:r>
    </w:p>
    <w:p w14:paraId="6B070378" w14:textId="384BF1BC" w:rsidR="00E80EB2" w:rsidRPr="00E701FC" w:rsidRDefault="00E80EB2" w:rsidP="00E80EB2">
      <w:pPr>
        <w:pStyle w:val="JANZSSABodycopy"/>
        <w:rPr>
          <w:b/>
        </w:rPr>
      </w:pPr>
      <w:r w:rsidRPr="00E701FC">
        <w:rPr>
          <w:rFonts w:hint="cs"/>
        </w:rPr>
        <w:t xml:space="preserve">Bronfenbrenner's (1981) </w:t>
      </w:r>
      <w:r>
        <w:t>e</w:t>
      </w:r>
      <w:r w:rsidRPr="00E701FC">
        <w:rPr>
          <w:rFonts w:hint="cs"/>
        </w:rPr>
        <w:t xml:space="preserve">cological </w:t>
      </w:r>
      <w:r>
        <w:t>s</w:t>
      </w:r>
      <w:r w:rsidRPr="00E701FC">
        <w:rPr>
          <w:rFonts w:hint="cs"/>
        </w:rPr>
        <w:t xml:space="preserve">ystems </w:t>
      </w:r>
      <w:r>
        <w:t>t</w:t>
      </w:r>
      <w:r w:rsidRPr="00E701FC">
        <w:rPr>
          <w:rFonts w:hint="cs"/>
        </w:rPr>
        <w:t xml:space="preserve">heory provides a lens for diagnosing why neurodivergent TAFE students disengage and for designing a response that reaches the right levels. Neurodivergent learners in VET face barriers that are rarely confined to a single relationship. </w:t>
      </w:r>
      <w:r w:rsidRPr="00E701FC">
        <w:rPr>
          <w:rFonts w:hint="cs"/>
          <w:lang w:val="en-IN"/>
        </w:rPr>
        <w:t xml:space="preserve">Universal Design for Learning (UDL) has a core aim </w:t>
      </w:r>
      <w:r>
        <w:rPr>
          <w:lang w:val="en-IN"/>
        </w:rPr>
        <w:t>of</w:t>
      </w:r>
      <w:r w:rsidRPr="00E701FC">
        <w:rPr>
          <w:rFonts w:hint="cs"/>
          <w:lang w:val="en-IN"/>
        </w:rPr>
        <w:t xml:space="preserve"> reduc</w:t>
      </w:r>
      <w:r>
        <w:rPr>
          <w:lang w:val="en-IN"/>
        </w:rPr>
        <w:t>ing</w:t>
      </w:r>
      <w:r w:rsidRPr="00E701FC">
        <w:rPr>
          <w:rFonts w:hint="cs"/>
          <w:lang w:val="en-IN"/>
        </w:rPr>
        <w:t xml:space="preserve"> </w:t>
      </w:r>
      <w:r>
        <w:rPr>
          <w:lang w:val="en-IN"/>
        </w:rPr>
        <w:t xml:space="preserve">structural </w:t>
      </w:r>
      <w:r w:rsidRPr="00E701FC">
        <w:rPr>
          <w:rFonts w:hint="cs"/>
          <w:lang w:val="en-IN"/>
        </w:rPr>
        <w:t>barriers by proactively designing learning environments that anticipate variability in how students engage, process information</w:t>
      </w:r>
      <w:r>
        <w:rPr>
          <w:lang w:val="en-IN"/>
        </w:rPr>
        <w:t>,</w:t>
      </w:r>
      <w:r w:rsidRPr="00E701FC">
        <w:rPr>
          <w:rFonts w:hint="cs"/>
          <w:lang w:val="en-IN"/>
        </w:rPr>
        <w:t xml:space="preserve"> and demonstrate their skills (CAST, 2024).</w:t>
      </w:r>
      <w:r w:rsidRPr="00E701FC">
        <w:rPr>
          <w:rFonts w:hint="cs"/>
          <w:strike/>
          <w:lang w:val="en-IN"/>
        </w:rPr>
        <w:t xml:space="preserve"> </w:t>
      </w:r>
    </w:p>
    <w:p w14:paraId="071CFBF2" w14:textId="0DF40631" w:rsidR="00E80EB2" w:rsidRPr="00E701FC" w:rsidRDefault="00E80EB2" w:rsidP="00E80EB2">
      <w:pPr>
        <w:pStyle w:val="JANZSSABodycopy"/>
      </w:pPr>
      <w:r w:rsidRPr="00E701FC">
        <w:rPr>
          <w:rFonts w:hint="cs"/>
        </w:rPr>
        <w:t>Two complementary frameworks ground the Neurodiversity Initiative in a whole</w:t>
      </w:r>
      <w:r>
        <w:t>-of-</w:t>
      </w:r>
      <w:r w:rsidRPr="00E701FC">
        <w:rPr>
          <w:rFonts w:hint="cs"/>
        </w:rPr>
        <w:t xml:space="preserve">institution design. Bronfenbrenner's </w:t>
      </w:r>
      <w:r w:rsidR="00A70D67">
        <w:t>e</w:t>
      </w:r>
      <w:r w:rsidRPr="00E701FC">
        <w:rPr>
          <w:rFonts w:hint="cs"/>
        </w:rPr>
        <w:t xml:space="preserve">cological </w:t>
      </w:r>
      <w:r w:rsidR="00A70D67">
        <w:t>s</w:t>
      </w:r>
      <w:r w:rsidRPr="00E701FC">
        <w:rPr>
          <w:rFonts w:hint="cs"/>
        </w:rPr>
        <w:t xml:space="preserve">ystems </w:t>
      </w:r>
      <w:r w:rsidR="00A70D67">
        <w:t>t</w:t>
      </w:r>
      <w:r w:rsidRPr="00E701FC">
        <w:rPr>
          <w:rFonts w:hint="cs"/>
        </w:rPr>
        <w:t xml:space="preserve">heory maps the </w:t>
      </w:r>
      <w:r w:rsidRPr="00E701FC">
        <w:rPr>
          <w:rStyle w:val="Emphasis"/>
          <w:rFonts w:hint="cs"/>
        </w:rPr>
        <w:t>where</w:t>
      </w:r>
      <w:r w:rsidRPr="00E701FC">
        <w:rPr>
          <w:rFonts w:hint="cs"/>
        </w:rPr>
        <w:t xml:space="preserve">, identifying the multiple environmental levels at which neurodivergent TAFE students encounter barriers, and at which the initiative must therefore intervene. UDL provides the </w:t>
      </w:r>
      <w:r w:rsidRPr="00E701FC">
        <w:rPr>
          <w:rStyle w:val="Emphasis"/>
          <w:rFonts w:hint="cs"/>
        </w:rPr>
        <w:t>how</w:t>
      </w:r>
      <w:r w:rsidRPr="00E701FC">
        <w:rPr>
          <w:rFonts w:hint="cs"/>
        </w:rPr>
        <w:t>, the design principles that determine what that intervention looks like at each level. The Bronfenbrenner model identifies the problem</w:t>
      </w:r>
      <w:r>
        <w:t>,</w:t>
      </w:r>
      <w:r w:rsidRPr="00E701FC">
        <w:rPr>
          <w:rFonts w:hint="cs"/>
        </w:rPr>
        <w:t xml:space="preserve"> while UDL </w:t>
      </w:r>
      <w:r>
        <w:t>informs</w:t>
      </w:r>
      <w:r w:rsidRPr="00E701FC">
        <w:rPr>
          <w:rFonts w:hint="cs"/>
        </w:rPr>
        <w:t xml:space="preserve"> the design logic. </w:t>
      </w:r>
    </w:p>
    <w:p w14:paraId="7DFA355F" w14:textId="6515D9A4" w:rsidR="00E80EB2" w:rsidRPr="00E80EB2" w:rsidRDefault="00E80EB2" w:rsidP="00E80EB2">
      <w:pPr>
        <w:pStyle w:val="JANZSSAHeading3"/>
      </w:pPr>
      <w:r w:rsidRPr="00E80EB2">
        <w:rPr>
          <w:rFonts w:hint="cs"/>
        </w:rPr>
        <w:t>Microsystem</w:t>
      </w:r>
      <w:r w:rsidRPr="00E80EB2">
        <w:t xml:space="preserve">: Nearest </w:t>
      </w:r>
      <w:r w:rsidR="00CD076D">
        <w:t>l</w:t>
      </w:r>
      <w:r w:rsidRPr="00E80EB2">
        <w:t xml:space="preserve">evel, </w:t>
      </w:r>
      <w:r w:rsidR="00CD076D">
        <w:t>m</w:t>
      </w:r>
      <w:r w:rsidRPr="00E80EB2">
        <w:t xml:space="preserve">ost </w:t>
      </w:r>
      <w:r w:rsidR="00CD076D">
        <w:t>i</w:t>
      </w:r>
      <w:r w:rsidRPr="00E80EB2">
        <w:t xml:space="preserve">mmediate </w:t>
      </w:r>
      <w:r w:rsidR="00CD076D">
        <w:t>b</w:t>
      </w:r>
      <w:r w:rsidRPr="00E80EB2">
        <w:t xml:space="preserve">arriers, </w:t>
      </w:r>
      <w:r w:rsidRPr="00E80EB2">
        <w:rPr>
          <w:rFonts w:hint="cs"/>
        </w:rPr>
        <w:t xml:space="preserve">UDL </w:t>
      </w:r>
      <w:r w:rsidR="00CD076D">
        <w:t>e</w:t>
      </w:r>
      <w:r w:rsidRPr="00E80EB2">
        <w:t>ngagement</w:t>
      </w:r>
    </w:p>
    <w:p w14:paraId="02DE8224" w14:textId="39C730A3" w:rsidR="00E80EB2" w:rsidRPr="00E701FC" w:rsidRDefault="00E80EB2" w:rsidP="00E80EB2">
      <w:pPr>
        <w:pStyle w:val="JANZSSABodycopy"/>
      </w:pPr>
      <w:r w:rsidRPr="00E701FC">
        <w:rPr>
          <w:rFonts w:hint="cs"/>
        </w:rPr>
        <w:t>At the microsystem level, neurodivergent students engage daily with trainers, counsellors, peers</w:t>
      </w:r>
      <w:r w:rsidR="00A70D67">
        <w:t>,</w:t>
      </w:r>
      <w:r w:rsidRPr="00E701FC">
        <w:rPr>
          <w:rFonts w:hint="cs"/>
        </w:rPr>
        <w:t xml:space="preserve"> and learning spaces, and it is here that barriers are most acutely felt. Sensory-intensive workshop environments, assessment tasks that assume uniform executive</w:t>
      </w:r>
      <w:r w:rsidR="004221E4">
        <w:t xml:space="preserve"> </w:t>
      </w:r>
      <w:r w:rsidRPr="00E701FC">
        <w:rPr>
          <w:rFonts w:hint="cs"/>
        </w:rPr>
        <w:t xml:space="preserve">function capacity, and the absence of safe disclosure pathways mean students frequently mask difficulties until disengagement or crisis. UDL's principle of multiple means of </w:t>
      </w:r>
      <w:r w:rsidRPr="00E701FC">
        <w:rPr>
          <w:rStyle w:val="Emphasis"/>
          <w:rFonts w:hint="cs"/>
        </w:rPr>
        <w:t>engagement</w:t>
      </w:r>
      <w:r w:rsidRPr="00E701FC">
        <w:rPr>
          <w:rFonts w:hint="cs"/>
        </w:rPr>
        <w:t xml:space="preserve"> directly addresses this level. </w:t>
      </w:r>
    </w:p>
    <w:p w14:paraId="2D333FAC" w14:textId="3845D85E" w:rsidR="00E80EB2" w:rsidRPr="00E701FC" w:rsidRDefault="00E80EB2" w:rsidP="00E80EB2">
      <w:pPr>
        <w:pStyle w:val="JANZSSABodycopy"/>
      </w:pPr>
      <w:r w:rsidRPr="00E701FC">
        <w:rPr>
          <w:rFonts w:hint="cs"/>
        </w:rPr>
        <w:t>Rather than waiting for students to seek help, the initiative creates low-barrier entry points through counsellor-facilitated small-group sessions that combine psychoeducation with practical, TAFE-relevant skills. Skills such as time-boxing</w:t>
      </w:r>
      <w:r>
        <w:t>,</w:t>
      </w:r>
      <w:r w:rsidRPr="00E701FC">
        <w:rPr>
          <w:rFonts w:hint="cs"/>
        </w:rPr>
        <w:t xml:space="preserve"> visual scheduling, and emotion</w:t>
      </w:r>
      <w:r w:rsidR="004221E4">
        <w:t xml:space="preserve"> </w:t>
      </w:r>
      <w:r w:rsidRPr="00E701FC">
        <w:rPr>
          <w:rFonts w:hint="cs"/>
        </w:rPr>
        <w:t xml:space="preserve">regulation strategies can </w:t>
      </w:r>
      <w:r w:rsidR="00A70D67">
        <w:lastRenderedPageBreak/>
        <w:t xml:space="preserve">be </w:t>
      </w:r>
      <w:r w:rsidRPr="00E701FC">
        <w:rPr>
          <w:rFonts w:hint="cs"/>
        </w:rPr>
        <w:t>utilise</w:t>
      </w:r>
      <w:r w:rsidR="00A70D67">
        <w:t>d by students</w:t>
      </w:r>
      <w:r w:rsidRPr="00E701FC">
        <w:rPr>
          <w:rFonts w:hint="cs"/>
        </w:rPr>
        <w:t xml:space="preserve"> </w:t>
      </w:r>
      <w:r w:rsidR="005B581F">
        <w:t>in the classroom</w:t>
      </w:r>
      <w:r w:rsidR="00CF3280">
        <w:t xml:space="preserve"> and </w:t>
      </w:r>
      <w:r>
        <w:t>during</w:t>
      </w:r>
      <w:r w:rsidRPr="00E701FC">
        <w:rPr>
          <w:rFonts w:hint="cs"/>
        </w:rPr>
        <w:t xml:space="preserve"> clinical placements. These skills</w:t>
      </w:r>
      <w:r>
        <w:t>,</w:t>
      </w:r>
      <w:r w:rsidRPr="00E701FC">
        <w:rPr>
          <w:rFonts w:hint="cs"/>
        </w:rPr>
        <w:t xml:space="preserve"> combined with self-advocacy coaching</w:t>
      </w:r>
      <w:r>
        <w:t>,</w:t>
      </w:r>
      <w:r w:rsidRPr="00E701FC">
        <w:rPr>
          <w:rFonts w:hint="cs"/>
        </w:rPr>
        <w:t xml:space="preserve"> assist students to communicate accessibility needs to supervisors, employers</w:t>
      </w:r>
      <w:r w:rsidR="00C841B7">
        <w:t>,</w:t>
      </w:r>
      <w:r w:rsidRPr="00E701FC">
        <w:rPr>
          <w:rFonts w:hint="cs"/>
        </w:rPr>
        <w:t xml:space="preserve"> and colleagues. Predictable group structures and peer mentorship scaffolds further foster the sense of belonging and safety that neurodivergent learners need to remain engaged</w:t>
      </w:r>
      <w:r>
        <w:t>.</w:t>
      </w:r>
      <w:r w:rsidRPr="00E701FC">
        <w:rPr>
          <w:rFonts w:hint="cs"/>
        </w:rPr>
        <w:t xml:space="preserve"> </w:t>
      </w:r>
      <w:r>
        <w:t>This need</w:t>
      </w:r>
      <w:r w:rsidRPr="00E701FC">
        <w:rPr>
          <w:rFonts w:hint="cs"/>
        </w:rPr>
        <w:t xml:space="preserve"> </w:t>
      </w:r>
      <w:r>
        <w:t>is</w:t>
      </w:r>
      <w:r w:rsidRPr="00E701FC">
        <w:rPr>
          <w:rFonts w:hint="cs"/>
        </w:rPr>
        <w:t xml:space="preserve"> </w:t>
      </w:r>
      <w:r>
        <w:t>not</w:t>
      </w:r>
      <w:r w:rsidRPr="00E701FC">
        <w:rPr>
          <w:rFonts w:hint="cs"/>
        </w:rPr>
        <w:t xml:space="preserve"> </w:t>
      </w:r>
      <w:r>
        <w:t>addressed by</w:t>
      </w:r>
      <w:r w:rsidRPr="00E701FC">
        <w:rPr>
          <w:rFonts w:hint="cs"/>
        </w:rPr>
        <w:t xml:space="preserve"> standard reactive models (Gibbs et al., 2025).</w:t>
      </w:r>
    </w:p>
    <w:p w14:paraId="221E83DA" w14:textId="64632AEB" w:rsidR="00E80EB2" w:rsidRPr="00E80EB2" w:rsidRDefault="00E80EB2" w:rsidP="00E80EB2">
      <w:pPr>
        <w:pStyle w:val="JANZSSAHeading3"/>
      </w:pPr>
      <w:r w:rsidRPr="00E80EB2">
        <w:t xml:space="preserve">Mesosystem: Connections </w:t>
      </w:r>
      <w:r w:rsidR="00CD076D">
        <w:t>b</w:t>
      </w:r>
      <w:r w:rsidRPr="00E80EB2">
        <w:t xml:space="preserve">etween </w:t>
      </w:r>
      <w:r w:rsidR="00CD076D">
        <w:t>s</w:t>
      </w:r>
      <w:r w:rsidRPr="00E80EB2">
        <w:t xml:space="preserve">ettings, UDL </w:t>
      </w:r>
      <w:r w:rsidR="00CD076D">
        <w:t>r</w:t>
      </w:r>
      <w:r w:rsidRPr="00E80EB2">
        <w:t>epresentation</w:t>
      </w:r>
    </w:p>
    <w:p w14:paraId="07B50EED" w14:textId="63878466" w:rsidR="00E80EB2" w:rsidRPr="00E701FC" w:rsidRDefault="00E80EB2" w:rsidP="00E80EB2">
      <w:pPr>
        <w:pStyle w:val="JANZSSABodycopy"/>
      </w:pPr>
      <w:r w:rsidRPr="00E701FC">
        <w:rPr>
          <w:rFonts w:hint="cs"/>
        </w:rPr>
        <w:t xml:space="preserve">The mesosystem focuses on the quality of connections between a student's microsystems. This is where many neurodivergent learners fall through the gaps in VET. A student’s needs for adjustments may be known to the counselling team but </w:t>
      </w:r>
      <w:r w:rsidR="00BC48AF">
        <w:t xml:space="preserve">be </w:t>
      </w:r>
      <w:r w:rsidRPr="00E701FC">
        <w:rPr>
          <w:rFonts w:hint="cs"/>
        </w:rPr>
        <w:t>unrecognised by their workplace supervisor. In many cases</w:t>
      </w:r>
      <w:r>
        <w:t>,</w:t>
      </w:r>
      <w:r w:rsidRPr="00E701FC">
        <w:rPr>
          <w:rFonts w:hint="cs"/>
        </w:rPr>
        <w:t xml:space="preserve"> </w:t>
      </w:r>
      <w:r>
        <w:t>on-campus</w:t>
      </w:r>
      <w:r w:rsidRPr="00E701FC">
        <w:rPr>
          <w:rFonts w:hint="cs"/>
        </w:rPr>
        <w:t xml:space="preserve"> </w:t>
      </w:r>
      <w:r>
        <w:t>adjustment</w:t>
      </w:r>
      <w:r w:rsidRPr="00E701FC">
        <w:rPr>
          <w:rFonts w:hint="cs"/>
        </w:rPr>
        <w:t xml:space="preserve">s may not be communicated to a placement host, and fragmented institutional processes can leave a student </w:t>
      </w:r>
      <w:r>
        <w:t>with</w:t>
      </w:r>
      <w:r w:rsidRPr="00E701FC">
        <w:rPr>
          <w:rFonts w:hint="cs"/>
        </w:rPr>
        <w:t xml:space="preserve"> inconsistent messages across departments. </w:t>
      </w:r>
    </w:p>
    <w:p w14:paraId="480A4D93" w14:textId="5667E239" w:rsidR="00E80EB2" w:rsidRPr="00E701FC" w:rsidRDefault="00E80EB2" w:rsidP="00E80EB2">
      <w:pPr>
        <w:pStyle w:val="JANZSSABodycopy"/>
      </w:pPr>
      <w:r w:rsidRPr="00E701FC">
        <w:rPr>
          <w:rFonts w:hint="cs"/>
        </w:rPr>
        <w:t xml:space="preserve">UDL's principle of multiple means of </w:t>
      </w:r>
      <w:r w:rsidRPr="00E701FC">
        <w:rPr>
          <w:rStyle w:val="Emphasis"/>
          <w:rFonts w:hint="cs"/>
        </w:rPr>
        <w:t>representation</w:t>
      </w:r>
      <w:r w:rsidRPr="00E701FC">
        <w:rPr>
          <w:rFonts w:hint="cs"/>
        </w:rPr>
        <w:t xml:space="preserve"> is the design response at this level. By ensuring that neurodiversity-affirming language, plain-language communications</w:t>
      </w:r>
      <w:r w:rsidR="00BC48AF">
        <w:t>,</w:t>
      </w:r>
      <w:r w:rsidRPr="00E701FC">
        <w:rPr>
          <w:rFonts w:hint="cs"/>
        </w:rPr>
        <w:t xml:space="preserve"> and visual supports are consistent across all environments</w:t>
      </w:r>
      <w:r>
        <w:t>,</w:t>
      </w:r>
      <w:r w:rsidRPr="00E701FC">
        <w:rPr>
          <w:rFonts w:hint="cs"/>
        </w:rPr>
        <w:t xml:space="preserve"> the student can better connect with different systems. The initiative operationalises this by establishing shared language and referral pathways across counselling, disability</w:t>
      </w:r>
      <w:r>
        <w:t>/accessibility</w:t>
      </w:r>
      <w:r w:rsidRPr="00E701FC">
        <w:rPr>
          <w:rFonts w:hint="cs"/>
        </w:rPr>
        <w:t xml:space="preserve"> inclusion, teaching departments</w:t>
      </w:r>
      <w:r w:rsidR="00BC48AF">
        <w:t>,</w:t>
      </w:r>
      <w:r w:rsidRPr="00E701FC">
        <w:rPr>
          <w:rFonts w:hint="cs"/>
        </w:rPr>
        <w:t xml:space="preserve"> and industry partners, so that the student's support does not reset each time their setting changes (Cole et al., 2024).</w:t>
      </w:r>
    </w:p>
    <w:p w14:paraId="4E4ED213" w14:textId="4BE8ED4A" w:rsidR="00E80EB2" w:rsidRPr="00E80EB2" w:rsidRDefault="00E80EB2" w:rsidP="00E80EB2">
      <w:pPr>
        <w:pStyle w:val="JANZSSAHeading3"/>
      </w:pPr>
      <w:proofErr w:type="spellStart"/>
      <w:r w:rsidRPr="00E80EB2">
        <w:rPr>
          <w:rFonts w:hint="cs"/>
        </w:rPr>
        <w:t>Exosystem</w:t>
      </w:r>
      <w:proofErr w:type="spellEnd"/>
      <w:r w:rsidRPr="00E80EB2">
        <w:t xml:space="preserve">: Institutional </w:t>
      </w:r>
      <w:r w:rsidR="00CD076D">
        <w:t>s</w:t>
      </w:r>
      <w:r w:rsidRPr="00E80EB2">
        <w:t xml:space="preserve">tructures, </w:t>
      </w:r>
      <w:r w:rsidRPr="00E80EB2">
        <w:rPr>
          <w:rFonts w:hint="cs"/>
        </w:rPr>
        <w:t xml:space="preserve">UDL </w:t>
      </w:r>
      <w:r w:rsidR="00CD076D">
        <w:t>a</w:t>
      </w:r>
      <w:r w:rsidRPr="00E80EB2">
        <w:t xml:space="preserve">ction and </w:t>
      </w:r>
      <w:r w:rsidR="00CD076D">
        <w:t>e</w:t>
      </w:r>
      <w:r w:rsidRPr="00E80EB2">
        <w:t>xpression</w:t>
      </w:r>
    </w:p>
    <w:p w14:paraId="40DDFC4B" w14:textId="64EA4A70" w:rsidR="00E80EB2" w:rsidRPr="00E701FC" w:rsidRDefault="00E80EB2" w:rsidP="00E80EB2">
      <w:pPr>
        <w:pStyle w:val="JANZSSABodycopy"/>
      </w:pPr>
      <w:r w:rsidRPr="00E701FC">
        <w:rPr>
          <w:rFonts w:hint="cs"/>
        </w:rPr>
        <w:t xml:space="preserve">The </w:t>
      </w:r>
      <w:proofErr w:type="spellStart"/>
      <w:r w:rsidRPr="00E701FC">
        <w:rPr>
          <w:rFonts w:hint="cs"/>
        </w:rPr>
        <w:t>exosystem</w:t>
      </w:r>
      <w:proofErr w:type="spellEnd"/>
      <w:r w:rsidRPr="00E701FC">
        <w:rPr>
          <w:rFonts w:hint="cs"/>
        </w:rPr>
        <w:t xml:space="preserve"> encompasses the institutional policies and decisions that shape the student's experience without their direct involvement</w:t>
      </w:r>
      <w:r>
        <w:t>,</w:t>
      </w:r>
      <w:r w:rsidRPr="00E701FC">
        <w:rPr>
          <w:rFonts w:hint="cs"/>
        </w:rPr>
        <w:t xml:space="preserve"> such as curriculum design, assessment frameworks, staff professional development</w:t>
      </w:r>
      <w:r>
        <w:t>,</w:t>
      </w:r>
      <w:r w:rsidRPr="00E701FC">
        <w:rPr>
          <w:rFonts w:hint="cs"/>
        </w:rPr>
        <w:t xml:space="preserve"> and resource allocation. It is at this level that structural barriers are most entrenched</w:t>
      </w:r>
      <w:r>
        <w:t>,</w:t>
      </w:r>
      <w:r w:rsidRPr="00E701FC">
        <w:rPr>
          <w:rFonts w:hint="cs"/>
        </w:rPr>
        <w:t xml:space="preserve"> </w:t>
      </w:r>
      <w:r>
        <w:t>including d</w:t>
      </w:r>
      <w:r w:rsidRPr="00E701FC">
        <w:rPr>
          <w:rFonts w:hint="cs"/>
        </w:rPr>
        <w:t>iagnostic delays that leave students waiting a semester for reasonable adjustments</w:t>
      </w:r>
      <w:r>
        <w:t xml:space="preserve"> and p</w:t>
      </w:r>
      <w:r w:rsidRPr="00E701FC">
        <w:rPr>
          <w:rFonts w:hint="cs"/>
        </w:rPr>
        <w:t>rofessional development programs that stop at awareness rather than building genuine neurodiversity literacy for staff</w:t>
      </w:r>
      <w:r>
        <w:t>.</w:t>
      </w:r>
      <w:r w:rsidRPr="00E701FC">
        <w:rPr>
          <w:rFonts w:hint="cs"/>
        </w:rPr>
        <w:t xml:space="preserve"> </w:t>
      </w:r>
      <w:r w:rsidRPr="00BF0BF0">
        <w:t>Reforms are also needed to make a</w:t>
      </w:r>
      <w:r w:rsidRPr="00BF0BF0">
        <w:rPr>
          <w:rFonts w:hint="cs"/>
        </w:rPr>
        <w:t>ssessment design</w:t>
      </w:r>
      <w:r w:rsidRPr="00BF0BF0">
        <w:t>s</w:t>
      </w:r>
      <w:r w:rsidRPr="00BF0BF0">
        <w:rPr>
          <w:rFonts w:hint="cs"/>
        </w:rPr>
        <w:t xml:space="preserve"> </w:t>
      </w:r>
      <w:r w:rsidRPr="00BF0BF0">
        <w:t>more adaptable for</w:t>
      </w:r>
      <w:r w:rsidRPr="00BF0BF0">
        <w:rPr>
          <w:rFonts w:hint="cs"/>
        </w:rPr>
        <w:t xml:space="preserve"> students with processing differences.</w:t>
      </w:r>
      <w:r w:rsidRPr="00E701FC">
        <w:rPr>
          <w:rFonts w:hint="cs"/>
        </w:rPr>
        <w:t xml:space="preserve"> </w:t>
      </w:r>
    </w:p>
    <w:p w14:paraId="1F249779" w14:textId="4D17D594" w:rsidR="00E80EB2" w:rsidRPr="00E701FC" w:rsidRDefault="00E80EB2" w:rsidP="00E80EB2">
      <w:pPr>
        <w:pStyle w:val="JANZSSABodycopy"/>
      </w:pPr>
      <w:r w:rsidRPr="00E701FC">
        <w:rPr>
          <w:rFonts w:hint="cs"/>
        </w:rPr>
        <w:t xml:space="preserve">UDL's principle of multiple means of </w:t>
      </w:r>
      <w:r w:rsidRPr="00E701FC">
        <w:rPr>
          <w:rStyle w:val="Emphasis"/>
          <w:rFonts w:hint="cs"/>
        </w:rPr>
        <w:t>action and expression</w:t>
      </w:r>
      <w:r w:rsidRPr="00E701FC">
        <w:rPr>
          <w:rFonts w:hint="cs"/>
        </w:rPr>
        <w:t xml:space="preserve"> addresses this directly by shifting the institutional default from uniform assessment toward flexible demonstration of competency, scaffolded tasks, visual timetables</w:t>
      </w:r>
      <w:r w:rsidR="00BC48AF">
        <w:t>,</w:t>
      </w:r>
      <w:r w:rsidRPr="00E701FC">
        <w:rPr>
          <w:rFonts w:hint="cs"/>
        </w:rPr>
        <w:t xml:space="preserve"> and communication scripts for workplace contexts</w:t>
      </w:r>
      <w:r>
        <w:t xml:space="preserve"> (CAST, 2024)</w:t>
      </w:r>
      <w:r w:rsidRPr="00E701FC">
        <w:rPr>
          <w:rFonts w:hint="cs"/>
        </w:rPr>
        <w:t xml:space="preserve">. The initiative embeds this shift through a disability inclusion working group </w:t>
      </w:r>
      <w:r>
        <w:t>that includes</w:t>
      </w:r>
      <w:r w:rsidRPr="00E701FC">
        <w:rPr>
          <w:rFonts w:hint="cs"/>
        </w:rPr>
        <w:t xml:space="preserve"> staff with lived experience of neurodivergence and applies a co-design lens to remove friction points across navigation, sensory load</w:t>
      </w:r>
      <w:r>
        <w:t>,</w:t>
      </w:r>
      <w:r w:rsidRPr="00E701FC">
        <w:rPr>
          <w:rFonts w:hint="cs"/>
        </w:rPr>
        <w:t xml:space="preserve"> and learning design. Evidence from </w:t>
      </w:r>
      <w:r w:rsidR="00BC48AF">
        <w:t xml:space="preserve">the </w:t>
      </w:r>
      <w:r w:rsidR="00BC48AF" w:rsidRPr="00BC48AF">
        <w:t>Australian Disability Clearinghouse on Education and Training</w:t>
      </w:r>
      <w:r w:rsidRPr="00E701FC">
        <w:rPr>
          <w:rFonts w:hint="cs"/>
        </w:rPr>
        <w:t xml:space="preserve">'s national work on UDL in the VET sector confirms that when educators engage with these principles, they move beyond compliance to develop </w:t>
      </w:r>
      <w:r>
        <w:t xml:space="preserve">a </w:t>
      </w:r>
      <w:r w:rsidRPr="00E701FC">
        <w:rPr>
          <w:rFonts w:hint="cs"/>
        </w:rPr>
        <w:t>genuine understanding of learner variability and shared responsibility for inclusion (</w:t>
      </w:r>
      <w:proofErr w:type="spellStart"/>
      <w:r w:rsidRPr="00E701FC">
        <w:rPr>
          <w:rFonts w:hint="cs"/>
        </w:rPr>
        <w:t>Pigato</w:t>
      </w:r>
      <w:proofErr w:type="spellEnd"/>
      <w:r w:rsidRPr="00E701FC">
        <w:rPr>
          <w:rFonts w:hint="cs"/>
        </w:rPr>
        <w:t>, 2024).</w:t>
      </w:r>
    </w:p>
    <w:p w14:paraId="59D3C8B5" w14:textId="76410D6A" w:rsidR="00E80EB2" w:rsidRPr="00E80EB2" w:rsidRDefault="00E80EB2" w:rsidP="00E80EB2">
      <w:pPr>
        <w:pStyle w:val="JANZSSAHeading3"/>
      </w:pPr>
      <w:r w:rsidRPr="00E80EB2">
        <w:t xml:space="preserve">Macrosystem and </w:t>
      </w:r>
      <w:r w:rsidR="00CD076D">
        <w:t>c</w:t>
      </w:r>
      <w:r w:rsidRPr="00E80EB2">
        <w:t>hronosystem</w:t>
      </w:r>
    </w:p>
    <w:p w14:paraId="2CC7BA19" w14:textId="49766710" w:rsidR="00E80EB2" w:rsidRPr="00E701FC" w:rsidRDefault="00E80EB2" w:rsidP="00E80EB2">
      <w:pPr>
        <w:pStyle w:val="JANZSSABodycopy"/>
      </w:pPr>
      <w:r w:rsidRPr="00E701FC">
        <w:rPr>
          <w:rFonts w:hint="cs"/>
        </w:rPr>
        <w:t xml:space="preserve">At the macrosystem level, the initiative operates within the TAFE services structure and actively advances a broader cultural and legislative shift. The </w:t>
      </w:r>
      <w:r w:rsidRPr="00B508AF">
        <w:rPr>
          <w:i/>
          <w:iCs w:val="0"/>
        </w:rPr>
        <w:t>Disability Discrimination Act</w:t>
      </w:r>
      <w:r w:rsidR="00EA3247" w:rsidRPr="00B508AF">
        <w:rPr>
          <w:i/>
          <w:iCs w:val="0"/>
        </w:rPr>
        <w:t xml:space="preserve"> 1992</w:t>
      </w:r>
      <w:r w:rsidR="00EA3247">
        <w:t xml:space="preserve"> (Cth)</w:t>
      </w:r>
      <w:r w:rsidRPr="00E701FC">
        <w:rPr>
          <w:rFonts w:hint="cs"/>
        </w:rPr>
        <w:t xml:space="preserve">, the </w:t>
      </w:r>
      <w:r w:rsidRPr="00B508AF">
        <w:rPr>
          <w:i/>
          <w:iCs w:val="0"/>
        </w:rPr>
        <w:t>Disability Standards for Education</w:t>
      </w:r>
      <w:r w:rsidR="00EA3247" w:rsidRPr="00B508AF">
        <w:rPr>
          <w:i/>
          <w:iCs w:val="0"/>
        </w:rPr>
        <w:t xml:space="preserve"> 2005</w:t>
      </w:r>
      <w:r w:rsidR="004A36BE">
        <w:rPr>
          <w:i/>
          <w:iCs w:val="0"/>
        </w:rPr>
        <w:t xml:space="preserve"> </w:t>
      </w:r>
      <w:r w:rsidR="004A36BE" w:rsidRPr="004A36BE">
        <w:t>(</w:t>
      </w:r>
      <w:r w:rsidR="008D28BE" w:rsidRPr="008D28BE">
        <w:t>Attorney-General's Department</w:t>
      </w:r>
      <w:r w:rsidR="008D28BE">
        <w:t xml:space="preserve">, </w:t>
      </w:r>
      <w:r w:rsidR="008D28BE" w:rsidRPr="008D28BE">
        <w:t>2005</w:t>
      </w:r>
      <w:r w:rsidR="004A36BE" w:rsidRPr="004A36BE">
        <w:t>)</w:t>
      </w:r>
      <w:r w:rsidR="00EA3247">
        <w:t>,</w:t>
      </w:r>
      <w:r w:rsidRPr="00E701FC">
        <w:rPr>
          <w:rFonts w:hint="cs"/>
        </w:rPr>
        <w:t xml:space="preserve"> and national VET equity priorities all mandate inclusive design</w:t>
      </w:r>
      <w:r>
        <w:t>,</w:t>
      </w:r>
      <w:r w:rsidRPr="00E701FC">
        <w:rPr>
          <w:rFonts w:hint="cs"/>
        </w:rPr>
        <w:t xml:space="preserve"> and changing community attitudes increasingly frame neurodivergence as natural human variation rather than deficit (CAST, 2024). The initiative is designed to be consistent with and to reinforce this shift, positioning neurodiversity-affirming practice as a quality indicator for VET delivery rather than</w:t>
      </w:r>
      <w:r w:rsidR="00741B95">
        <w:t xml:space="preserve"> a</w:t>
      </w:r>
      <w:r w:rsidRPr="00E701FC">
        <w:rPr>
          <w:rFonts w:hint="cs"/>
        </w:rPr>
        <w:t xml:space="preserve"> specialist accommodation. </w:t>
      </w:r>
    </w:p>
    <w:p w14:paraId="053B0B9B" w14:textId="23A6F0B4" w:rsidR="00E80EB2" w:rsidRPr="00E701FC" w:rsidRDefault="00E80EB2" w:rsidP="00E80EB2">
      <w:pPr>
        <w:pStyle w:val="JANZSSABodycopy"/>
      </w:pPr>
      <w:r w:rsidRPr="00E701FC">
        <w:rPr>
          <w:rFonts w:hint="cs"/>
        </w:rPr>
        <w:t>The chronosystem dimension adds a further rationale: the student population the initiative serves is growing. More adult learners are entering TAFE after adverse schooling experiences or while seeking late neurodivergent diagnoses</w:t>
      </w:r>
      <w:r>
        <w:t>. T</w:t>
      </w:r>
      <w:r w:rsidRPr="00E701FC">
        <w:rPr>
          <w:rFonts w:hint="cs"/>
        </w:rPr>
        <w:t>he post-COVID</w:t>
      </w:r>
      <w:r w:rsidR="00A64F48">
        <w:t>-19</w:t>
      </w:r>
      <w:r w:rsidRPr="00E701FC">
        <w:rPr>
          <w:rFonts w:hint="cs"/>
        </w:rPr>
        <w:t xml:space="preserve"> shift to hybrid learning has sharpened </w:t>
      </w:r>
      <w:r w:rsidRPr="00E701FC">
        <w:rPr>
          <w:rFonts w:hint="cs"/>
        </w:rPr>
        <w:lastRenderedPageBreak/>
        <w:t xml:space="preserve">the need for the predictable, accessible design that UDL prescribes. The initiative is therefore not a one-off program but an institutional evolution </w:t>
      </w:r>
      <w:r>
        <w:t>that builds staff capability</w:t>
      </w:r>
      <w:r w:rsidR="004A36BE">
        <w:t>;</w:t>
      </w:r>
      <w:r>
        <w:t xml:space="preserve"> open-access resources</w:t>
      </w:r>
      <w:r w:rsidR="004A36BE">
        <w:t>;</w:t>
      </w:r>
      <w:r>
        <w:t xml:space="preserve"> and a sustainable, staged peer</w:t>
      </w:r>
      <w:r w:rsidR="004221E4">
        <w:t xml:space="preserve"> </w:t>
      </w:r>
      <w:r>
        <w:t>mentoring infrastructure.</w:t>
      </w:r>
    </w:p>
    <w:p w14:paraId="4538E777" w14:textId="325651C1" w:rsidR="00E80EB2" w:rsidRPr="00E701FC" w:rsidRDefault="00E80EB2" w:rsidP="00E80EB2">
      <w:pPr>
        <w:pStyle w:val="JANZSSABodycopy"/>
      </w:pPr>
      <w:r w:rsidRPr="00E701FC">
        <w:rPr>
          <w:rFonts w:hint="cs"/>
        </w:rPr>
        <w:t>Taken together, Bronfenbrenner identifies the levels at which the initiative must work</w:t>
      </w:r>
      <w:r w:rsidR="00741B95">
        <w:t>,</w:t>
      </w:r>
      <w:r w:rsidRPr="00E701FC">
        <w:rPr>
          <w:rFonts w:hint="cs"/>
        </w:rPr>
        <w:t xml:space="preserve"> UDL specifies how it should be designed at each of them</w:t>
      </w:r>
      <w:r w:rsidR="00741B95">
        <w:t>,</w:t>
      </w:r>
      <w:r w:rsidRPr="00E701FC">
        <w:rPr>
          <w:rFonts w:hint="cs"/>
        </w:rPr>
        <w:t xml:space="preserve"> and the Neurodiversity Initiative is the applied practice that brings both frameworks to life in the TAFE context.</w:t>
      </w:r>
    </w:p>
    <w:p w14:paraId="331495E0" w14:textId="60BEA44F" w:rsidR="00E80EB2" w:rsidRPr="00E701FC" w:rsidRDefault="00E80EB2" w:rsidP="00E80EB2">
      <w:pPr>
        <w:pStyle w:val="JANZSSAHeading2"/>
      </w:pPr>
      <w:r w:rsidRPr="00E701FC">
        <w:rPr>
          <w:rFonts w:hint="cs"/>
        </w:rPr>
        <w:t>Co-</w:t>
      </w:r>
      <w:r w:rsidR="00CD076D">
        <w:t>d</w:t>
      </w:r>
      <w:r w:rsidRPr="00E701FC">
        <w:rPr>
          <w:rFonts w:hint="cs"/>
        </w:rPr>
        <w:t xml:space="preserve">esign </w:t>
      </w:r>
      <w:r w:rsidR="00CD076D">
        <w:t>a</w:t>
      </w:r>
      <w:r w:rsidRPr="00E701FC">
        <w:rPr>
          <w:rFonts w:hint="cs"/>
        </w:rPr>
        <w:t xml:space="preserve">pproach </w:t>
      </w:r>
    </w:p>
    <w:p w14:paraId="37C67D74" w14:textId="65EB221D" w:rsidR="00E80EB2" w:rsidRPr="00E80EB2" w:rsidRDefault="00E80EB2" w:rsidP="00E80EB2">
      <w:pPr>
        <w:pStyle w:val="JANZSSAHeading3"/>
      </w:pPr>
      <w:r w:rsidRPr="00E80EB2">
        <w:t xml:space="preserve">Student </w:t>
      </w:r>
      <w:r w:rsidR="00CD076D">
        <w:t>c</w:t>
      </w:r>
      <w:r w:rsidRPr="00E80EB2">
        <w:t>o-</w:t>
      </w:r>
      <w:r w:rsidR="00CD076D">
        <w:t>d</w:t>
      </w:r>
      <w:r w:rsidRPr="00E80EB2">
        <w:t>esign</w:t>
      </w:r>
    </w:p>
    <w:p w14:paraId="54C7A521" w14:textId="43B50DD1" w:rsidR="00E80EB2" w:rsidRPr="00E701FC" w:rsidRDefault="00E80EB2" w:rsidP="00E80EB2">
      <w:pPr>
        <w:pStyle w:val="JANZSSABodycopy"/>
      </w:pPr>
      <w:r w:rsidRPr="00E701FC">
        <w:rPr>
          <w:rFonts w:hint="cs"/>
        </w:rPr>
        <w:t>Co-design is built into the methodology from the outset. In the needs analysis phase, student surveys gather baseline data on barriers to engagement, preferred delivery formats, sensory and communication accessibility requirements, and the language and structure of student-facing resources. These responses directly shape workshop topics</w:t>
      </w:r>
      <w:r>
        <w:t xml:space="preserve"> and</w:t>
      </w:r>
      <w:r w:rsidRPr="00E701FC">
        <w:rPr>
          <w:rFonts w:hint="cs"/>
        </w:rPr>
        <w:t xml:space="preserve"> session scheduling. Student participation </w:t>
      </w:r>
      <w:r w:rsidR="00740C30">
        <w:t>is</w:t>
      </w:r>
      <w:r w:rsidRPr="00E701FC">
        <w:rPr>
          <w:rFonts w:hint="cs"/>
        </w:rPr>
        <w:t xml:space="preserve"> acknowledged through formal recognition or modest remuneration, reinforcing th</w:t>
      </w:r>
      <w:r>
        <w:t>e</w:t>
      </w:r>
      <w:r w:rsidRPr="00E701FC">
        <w:rPr>
          <w:rFonts w:hint="cs"/>
        </w:rPr>
        <w:t xml:space="preserve"> </w:t>
      </w:r>
      <w:r>
        <w:t>value</w:t>
      </w:r>
      <w:r w:rsidRPr="00E701FC">
        <w:rPr>
          <w:rFonts w:hint="cs"/>
        </w:rPr>
        <w:t xml:space="preserve"> </w:t>
      </w:r>
      <w:r>
        <w:t>of</w:t>
      </w:r>
      <w:r w:rsidRPr="00E701FC">
        <w:rPr>
          <w:rFonts w:hint="cs"/>
        </w:rPr>
        <w:t xml:space="preserve"> </w:t>
      </w:r>
      <w:r>
        <w:t>their</w:t>
      </w:r>
      <w:r w:rsidRPr="00E701FC">
        <w:rPr>
          <w:rFonts w:hint="cs"/>
        </w:rPr>
        <w:t xml:space="preserve"> </w:t>
      </w:r>
      <w:r>
        <w:t>contributions</w:t>
      </w:r>
      <w:r w:rsidRPr="00E701FC">
        <w:rPr>
          <w:rFonts w:hint="cs"/>
        </w:rPr>
        <w:t xml:space="preserve"> as expertise rather than consultation. Throughout the pilot, iterative student feedback</w:t>
      </w:r>
      <w:r w:rsidR="00740C30">
        <w:t xml:space="preserve"> helps</w:t>
      </w:r>
      <w:r w:rsidRPr="00E701FC">
        <w:rPr>
          <w:rFonts w:hint="cs"/>
        </w:rPr>
        <w:t xml:space="preserve"> refine content and delivery, ensuring the program remains aligned with the real priorities and preferences of neurodivergent learners in the TAFE context.</w:t>
      </w:r>
    </w:p>
    <w:p w14:paraId="0A16C29A" w14:textId="56A6171A" w:rsidR="00E80EB2" w:rsidRPr="00E80EB2" w:rsidRDefault="00E80EB2" w:rsidP="00E80EB2">
      <w:pPr>
        <w:pStyle w:val="JANZSSAHeading3"/>
      </w:pPr>
      <w:r w:rsidRPr="00E80EB2">
        <w:t xml:space="preserve">Staff </w:t>
      </w:r>
      <w:r w:rsidR="00CD076D">
        <w:t>c</w:t>
      </w:r>
      <w:r w:rsidRPr="00E80EB2">
        <w:t xml:space="preserve">apability </w:t>
      </w:r>
      <w:r w:rsidR="00CD076D">
        <w:t>b</w:t>
      </w:r>
      <w:r w:rsidRPr="00E80EB2">
        <w:t>uilding</w:t>
      </w:r>
    </w:p>
    <w:p w14:paraId="263438BB" w14:textId="747789C2" w:rsidR="00E80EB2" w:rsidRPr="00E701FC" w:rsidRDefault="00E80EB2" w:rsidP="00E80EB2">
      <w:pPr>
        <w:pStyle w:val="JANZSSABodycopy"/>
      </w:pPr>
      <w:r w:rsidRPr="00E701FC">
        <w:rPr>
          <w:rFonts w:hint="cs"/>
        </w:rPr>
        <w:t>Alongside student co-design, a structured staff involvement strand runs through the initiative</w:t>
      </w:r>
      <w:r>
        <w:t>,</w:t>
      </w:r>
      <w:r w:rsidRPr="00E701FC">
        <w:rPr>
          <w:rFonts w:hint="cs"/>
        </w:rPr>
        <w:t xml:space="preserve"> recognising that sustainable change in learning environments depends as much on educator capability as on student-facing programming. A staff survey administered </w:t>
      </w:r>
      <w:r>
        <w:t>during</w:t>
      </w:r>
      <w:r w:rsidRPr="00E701FC">
        <w:rPr>
          <w:rFonts w:hint="cs"/>
        </w:rPr>
        <w:t xml:space="preserve"> the initiative's early phase gather</w:t>
      </w:r>
      <w:r w:rsidR="00740C30">
        <w:t>s</w:t>
      </w:r>
      <w:r w:rsidRPr="00E701FC">
        <w:rPr>
          <w:rFonts w:hint="cs"/>
        </w:rPr>
        <w:t xml:space="preserve"> baseline data on confidence levels, knowledge gaps, challenges e</w:t>
      </w:r>
      <w:r>
        <w:t>ncounter</w:t>
      </w:r>
      <w:r w:rsidRPr="00E701FC">
        <w:rPr>
          <w:rFonts w:hint="cs"/>
        </w:rPr>
        <w:t xml:space="preserve">ed </w:t>
      </w:r>
      <w:r>
        <w:t>i</w:t>
      </w:r>
      <w:r w:rsidRPr="00E701FC">
        <w:rPr>
          <w:rFonts w:hint="cs"/>
        </w:rPr>
        <w:t xml:space="preserve">n supporting neurodivergent learners, and preferences for </w:t>
      </w:r>
      <w:r>
        <w:t xml:space="preserve">the delivery of </w:t>
      </w:r>
      <w:r w:rsidRPr="00E701FC">
        <w:rPr>
          <w:rFonts w:hint="cs"/>
        </w:rPr>
        <w:t>professional learning. These insights</w:t>
      </w:r>
      <w:r w:rsidR="00740C30">
        <w:t xml:space="preserve"> help</w:t>
      </w:r>
      <w:r w:rsidRPr="00E701FC">
        <w:rPr>
          <w:rFonts w:hint="cs"/>
        </w:rPr>
        <w:t xml:space="preserve"> directly inform the development of tailored, blended professional learning modules</w:t>
      </w:r>
      <w:r>
        <w:t xml:space="preserve">. The module </w:t>
      </w:r>
      <w:r w:rsidR="00740C30">
        <w:t xml:space="preserve">for staff </w:t>
      </w:r>
      <w:r>
        <w:t>cover</w:t>
      </w:r>
      <w:r w:rsidR="00740C30">
        <w:t>s</w:t>
      </w:r>
      <w:r w:rsidRPr="00E701FC">
        <w:rPr>
          <w:rFonts w:hint="cs"/>
        </w:rPr>
        <w:t xml:space="preserve"> inclusive communication, executive</w:t>
      </w:r>
      <w:r w:rsidR="004221E4">
        <w:t xml:space="preserve"> </w:t>
      </w:r>
      <w:r w:rsidRPr="00E701FC">
        <w:rPr>
          <w:rFonts w:hint="cs"/>
        </w:rPr>
        <w:t>function support, sensory-considerate environment design, UDL implementation, and flexible assessment options</w:t>
      </w:r>
      <w:r>
        <w:t xml:space="preserve"> to accommodate different learning profiles</w:t>
      </w:r>
      <w:r w:rsidRPr="00E701FC">
        <w:rPr>
          <w:rFonts w:hint="cs"/>
        </w:rPr>
        <w:t>. Teaching teams act as co-designers and evaluators of the pilot</w:t>
      </w:r>
      <w:r>
        <w:t xml:space="preserve">. </w:t>
      </w:r>
    </w:p>
    <w:p w14:paraId="3C712CE9" w14:textId="77777777" w:rsidR="00E80EB2" w:rsidRPr="00E80EB2" w:rsidRDefault="00E80EB2" w:rsidP="00E80EB2">
      <w:pPr>
        <w:pStyle w:val="JANZSSAHeading2"/>
      </w:pPr>
      <w:r w:rsidRPr="00E80EB2">
        <w:t xml:space="preserve">Methodology </w:t>
      </w:r>
    </w:p>
    <w:p w14:paraId="5CD4AB5A" w14:textId="1A1A6717" w:rsidR="00E80EB2" w:rsidRPr="00E701FC" w:rsidRDefault="00E80EB2" w:rsidP="00E80EB2">
      <w:pPr>
        <w:pStyle w:val="JANZSSABodycopy"/>
        <w:rPr>
          <w:color w:val="000000" w:themeColor="text1"/>
        </w:rPr>
      </w:pPr>
      <w:r w:rsidRPr="00E701FC">
        <w:rPr>
          <w:rFonts w:hint="cs"/>
          <w:color w:val="000000" w:themeColor="text1"/>
        </w:rPr>
        <w:t xml:space="preserve">The initiative adopts a mixed-methods, design-based research approach organised across three phases: </w:t>
      </w:r>
      <w:r w:rsidRPr="00E701FC">
        <w:rPr>
          <w:rFonts w:hint="cs"/>
        </w:rPr>
        <w:t>needs analysis, co-design, and pilot implementation</w:t>
      </w:r>
      <w:r w:rsidR="0054273B">
        <w:t>. T</w:t>
      </w:r>
      <w:r w:rsidR="005B581F">
        <w:t>hese phases</w:t>
      </w:r>
      <w:r w:rsidRPr="00E701FC">
        <w:rPr>
          <w:rFonts w:hint="cs"/>
        </w:rPr>
        <w:t xml:space="preserve"> reflect Baik </w:t>
      </w:r>
      <w:r>
        <w:t>and Larcombe’s</w:t>
      </w:r>
      <w:r w:rsidRPr="00E701FC">
        <w:rPr>
          <w:rFonts w:hint="cs"/>
        </w:rPr>
        <w:t xml:space="preserve"> (2017) five action areas and NCVER's (2024) good-practice elements, adapted to the specific conditions of the TAFE context. </w:t>
      </w:r>
      <w:r>
        <w:t>T</w:t>
      </w:r>
      <w:r w:rsidRPr="00E701FC">
        <w:rPr>
          <w:rFonts w:hint="cs"/>
        </w:rPr>
        <w:t xml:space="preserve">his phased approach ensures the initiative is built from evidence of what neurodivergent learners and educators </w:t>
      </w:r>
      <w:r w:rsidRPr="00E701FC">
        <w:t>need</w:t>
      </w:r>
      <w:r w:rsidRPr="00E701FC">
        <w:rPr>
          <w:rFonts w:hint="cs"/>
        </w:rPr>
        <w:t>, tested under real conditions, and evaluated with sufficient rigour to support scaling decisions.</w:t>
      </w:r>
    </w:p>
    <w:p w14:paraId="65BE8B30" w14:textId="12FDDB16" w:rsidR="00E80EB2" w:rsidRPr="00E80EB2" w:rsidRDefault="00E80EB2" w:rsidP="00E80EB2">
      <w:pPr>
        <w:pStyle w:val="JANZSSAHeading3"/>
      </w:pPr>
      <w:r w:rsidRPr="00E80EB2">
        <w:t xml:space="preserve">Phase 1: Needs </w:t>
      </w:r>
      <w:r w:rsidR="00CD076D">
        <w:t>a</w:t>
      </w:r>
      <w:r w:rsidRPr="00E80EB2">
        <w:t xml:space="preserve">nalysis </w:t>
      </w:r>
    </w:p>
    <w:p w14:paraId="59EE9511" w14:textId="74D1DF3E" w:rsidR="00E80EB2" w:rsidRDefault="00E80EB2" w:rsidP="00E80EB2">
      <w:pPr>
        <w:pStyle w:val="JANZSSABodycopy"/>
      </w:pPr>
      <w:r w:rsidRPr="00E701FC">
        <w:rPr>
          <w:rFonts w:hint="cs"/>
        </w:rPr>
        <w:t xml:space="preserve">The first phase establishes the evidence base from which the initiative is built. Surveys of students and staff </w:t>
      </w:r>
      <w:r w:rsidR="00740C30">
        <w:t xml:space="preserve">will </w:t>
      </w:r>
      <w:r w:rsidRPr="00E701FC">
        <w:rPr>
          <w:rFonts w:hint="cs"/>
        </w:rPr>
        <w:t xml:space="preserve">provide baseline data on the barriers neurodivergent learners experience in VET. These include disclosure practices, sensory and communication accessibility needs, and the gap between available services and actual help-seeking. </w:t>
      </w:r>
    </w:p>
    <w:p w14:paraId="30D984D8" w14:textId="3DD0E50C" w:rsidR="00E80EB2" w:rsidRPr="00E701FC" w:rsidRDefault="00E80EB2" w:rsidP="00E80EB2">
      <w:pPr>
        <w:pStyle w:val="JANZSSABodycopy"/>
      </w:pPr>
      <w:r w:rsidRPr="00E701FC">
        <w:rPr>
          <w:rFonts w:hint="cs"/>
        </w:rPr>
        <w:t>Parallel staff surveys w</w:t>
      </w:r>
      <w:r w:rsidR="00740C30">
        <w:t>ill</w:t>
      </w:r>
      <w:r w:rsidRPr="00E701FC">
        <w:rPr>
          <w:rFonts w:hint="cs"/>
        </w:rPr>
        <w:t xml:space="preserve"> gather data on professional learning</w:t>
      </w:r>
      <w:r>
        <w:t xml:space="preserve"> activities aligning with neuro-affirming principles</w:t>
      </w:r>
      <w:r w:rsidR="00763A62">
        <w:t>,</w:t>
      </w:r>
      <w:r>
        <w:t xml:space="preserve"> as highlighted above</w:t>
      </w:r>
      <w:r w:rsidRPr="00E701FC">
        <w:rPr>
          <w:rFonts w:hint="cs"/>
        </w:rPr>
        <w:t>. Quantitative data will be analysed descriptively and inferentially; open-ended responses w</w:t>
      </w:r>
      <w:r>
        <w:t>ill</w:t>
      </w:r>
      <w:r w:rsidRPr="00E701FC">
        <w:rPr>
          <w:rFonts w:hint="cs"/>
        </w:rPr>
        <w:t xml:space="preserve"> be analysed thematically. This phase does not simply confirm that a problem exists</w:t>
      </w:r>
      <w:r>
        <w:t>;</w:t>
      </w:r>
      <w:r w:rsidRPr="00E701FC">
        <w:rPr>
          <w:rFonts w:hint="cs"/>
        </w:rPr>
        <w:t xml:space="preserve"> it </w:t>
      </w:r>
      <w:r>
        <w:t>maps</w:t>
      </w:r>
      <w:r w:rsidRPr="00E701FC">
        <w:rPr>
          <w:rFonts w:hint="cs"/>
        </w:rPr>
        <w:t xml:space="preserve"> the specific contours of that problem so that the initiative's design responds to a verified local need</w:t>
      </w:r>
      <w:r>
        <w:t xml:space="preserve">. </w:t>
      </w:r>
    </w:p>
    <w:p w14:paraId="23CA19E1" w14:textId="60ECD1D9" w:rsidR="00E80EB2" w:rsidRPr="00E80EB2" w:rsidRDefault="00E80EB2" w:rsidP="00E80EB2">
      <w:pPr>
        <w:pStyle w:val="JANZSSAHeading3"/>
      </w:pPr>
      <w:r w:rsidRPr="00E80EB2">
        <w:lastRenderedPageBreak/>
        <w:t>Phase 2: Co-</w:t>
      </w:r>
      <w:r w:rsidR="00CD076D">
        <w:t>d</w:t>
      </w:r>
      <w:r w:rsidRPr="00E80EB2">
        <w:t xml:space="preserve">esign </w:t>
      </w:r>
    </w:p>
    <w:p w14:paraId="1B4F8430" w14:textId="41A64779" w:rsidR="00E80EB2" w:rsidRDefault="00E80EB2" w:rsidP="00E80EB2">
      <w:pPr>
        <w:pStyle w:val="JANZSSABodycopy"/>
      </w:pPr>
      <w:r w:rsidRPr="00E701FC">
        <w:rPr>
          <w:rFonts w:hint="cs"/>
        </w:rPr>
        <w:t xml:space="preserve">The co-design phase moves from needs identification to program development through participatory workshops with neurodivergent students and teaching staff. Workshop topics, session scheduling, </w:t>
      </w:r>
      <w:r>
        <w:t xml:space="preserve">and </w:t>
      </w:r>
      <w:r w:rsidRPr="00E701FC">
        <w:rPr>
          <w:rFonts w:hint="cs"/>
        </w:rPr>
        <w:t xml:space="preserve">sensory and communication accessibility approaches will be informed by survey feedback. </w:t>
      </w:r>
      <w:r>
        <w:t>T</w:t>
      </w:r>
      <w:r w:rsidRPr="00E701FC">
        <w:rPr>
          <w:rFonts w:hint="cs"/>
        </w:rPr>
        <w:t>he language and format of all student-facing resources</w:t>
      </w:r>
      <w:r>
        <w:t>,</w:t>
      </w:r>
      <w:r w:rsidRPr="00E701FC">
        <w:rPr>
          <w:rFonts w:hint="cs"/>
        </w:rPr>
        <w:t xml:space="preserve"> including </w:t>
      </w:r>
      <w:r w:rsidR="00740C30">
        <w:t>E</w:t>
      </w:r>
      <w:r w:rsidRPr="00E701FC">
        <w:rPr>
          <w:rFonts w:hint="cs"/>
        </w:rPr>
        <w:t>asy English and multimodal communication options</w:t>
      </w:r>
      <w:r>
        <w:t>,</w:t>
      </w:r>
      <w:r w:rsidRPr="00E701FC">
        <w:rPr>
          <w:rFonts w:hint="cs"/>
        </w:rPr>
        <w:t xml:space="preserve"> would be developed and refined based on participant feedback. </w:t>
      </w:r>
    </w:p>
    <w:p w14:paraId="548EE8CC" w14:textId="2996E9EC" w:rsidR="00E80EB2" w:rsidRPr="00E701FC" w:rsidRDefault="00E80EB2" w:rsidP="00E80EB2">
      <w:pPr>
        <w:pStyle w:val="JANZSSABodycopy"/>
      </w:pPr>
      <w:r w:rsidRPr="00E701FC">
        <w:rPr>
          <w:rFonts w:hint="cs"/>
        </w:rPr>
        <w:t xml:space="preserve">Student involvement </w:t>
      </w:r>
      <w:r>
        <w:t>will be voluntary and central to the initiative's design</w:t>
      </w:r>
      <w:r w:rsidRPr="00E701FC">
        <w:rPr>
          <w:rFonts w:hint="cs"/>
        </w:rPr>
        <w:t xml:space="preserve">. Participants would contribute to defining success indicators, shaping content and testing accessibility features, and their participation would be acknowledged through formal recognition or modest remuneration. Staff </w:t>
      </w:r>
      <w:r w:rsidRPr="00E701FC">
        <w:t>contribut</w:t>
      </w:r>
      <w:r>
        <w:t>ors,</w:t>
      </w:r>
      <w:r w:rsidRPr="00E701FC">
        <w:rPr>
          <w:rFonts w:hint="cs"/>
        </w:rPr>
        <w:t xml:space="preserve"> as co-designers a</w:t>
      </w:r>
      <w:r>
        <w:t>nd</w:t>
      </w:r>
      <w:r w:rsidRPr="00E701FC">
        <w:rPr>
          <w:rFonts w:hint="cs"/>
        </w:rPr>
        <w:t xml:space="preserve"> learners</w:t>
      </w:r>
      <w:r>
        <w:t>, will</w:t>
      </w:r>
      <w:r w:rsidRPr="00E701FC">
        <w:rPr>
          <w:rFonts w:hint="cs"/>
        </w:rPr>
        <w:t xml:space="preserve"> directly shap</w:t>
      </w:r>
      <w:r>
        <w:t>e</w:t>
      </w:r>
      <w:r w:rsidRPr="00E701FC">
        <w:rPr>
          <w:rFonts w:hint="cs"/>
        </w:rPr>
        <w:t xml:space="preserve"> the modules developed in this phase. The disability inclusion working group, including staff with lived experience of neurodivergence</w:t>
      </w:r>
      <w:r>
        <w:t>,</w:t>
      </w:r>
      <w:r w:rsidR="00740C30">
        <w:t xml:space="preserve"> will</w:t>
      </w:r>
      <w:r w:rsidR="00426AD3" w:rsidRPr="00E701FC">
        <w:rPr>
          <w:rFonts w:hint="cs"/>
        </w:rPr>
        <w:t xml:space="preserve"> </w:t>
      </w:r>
      <w:r>
        <w:t>help</w:t>
      </w:r>
      <w:r w:rsidRPr="00E701FC">
        <w:rPr>
          <w:rFonts w:hint="cs"/>
        </w:rPr>
        <w:t xml:space="preserve"> </w:t>
      </w:r>
      <w:r>
        <w:t xml:space="preserve">ensure adjustments to </w:t>
      </w:r>
      <w:r w:rsidRPr="00E701FC">
        <w:rPr>
          <w:rFonts w:hint="cs"/>
        </w:rPr>
        <w:t>lighting and sensory load, a</w:t>
      </w:r>
      <w:r>
        <w:t>s well as</w:t>
      </w:r>
      <w:r w:rsidRPr="00E701FC">
        <w:rPr>
          <w:rFonts w:hint="cs"/>
        </w:rPr>
        <w:t xml:space="preserve"> plain-language communication</w:t>
      </w:r>
      <w:r>
        <w:t>,</w:t>
      </w:r>
      <w:r w:rsidRPr="00E701FC">
        <w:rPr>
          <w:rFonts w:hint="cs"/>
        </w:rPr>
        <w:t xml:space="preserve"> before the pilot begins.</w:t>
      </w:r>
    </w:p>
    <w:p w14:paraId="0985BF44" w14:textId="07C083DB" w:rsidR="00E80EB2" w:rsidRPr="00E80EB2" w:rsidRDefault="00E80EB2" w:rsidP="00E80EB2">
      <w:pPr>
        <w:pStyle w:val="JANZSSAHeading3"/>
      </w:pPr>
      <w:r w:rsidRPr="00E80EB2">
        <w:t xml:space="preserve">Phase 3: Pilot </w:t>
      </w:r>
      <w:r w:rsidR="00CD076D">
        <w:t>i</w:t>
      </w:r>
      <w:r w:rsidRPr="00E80EB2">
        <w:t xml:space="preserve">mplementation </w:t>
      </w:r>
    </w:p>
    <w:p w14:paraId="6B074F6B" w14:textId="29F46F9D" w:rsidR="00E80EB2" w:rsidRPr="00E701FC" w:rsidRDefault="00E80EB2" w:rsidP="00E80EB2">
      <w:pPr>
        <w:pStyle w:val="JANZSSABodycopy"/>
      </w:pPr>
      <w:r w:rsidRPr="00E701FC">
        <w:rPr>
          <w:rFonts w:hint="cs"/>
        </w:rPr>
        <w:t>The pilot w</w:t>
      </w:r>
      <w:r w:rsidR="00740C30">
        <w:t>ill</w:t>
      </w:r>
      <w:r w:rsidRPr="00E701FC">
        <w:rPr>
          <w:rFonts w:hint="cs"/>
        </w:rPr>
        <w:t xml:space="preserve"> be delivered across small-group sessions facilitated by counsellors and disability/accessibility support staff. Program content would integrate psychoeducation with practical</w:t>
      </w:r>
      <w:r>
        <w:t xml:space="preserve"> </w:t>
      </w:r>
      <w:r w:rsidRPr="00E701FC">
        <w:rPr>
          <w:rFonts w:hint="cs"/>
        </w:rPr>
        <w:t>skills</w:t>
      </w:r>
      <w:r w:rsidR="00700312">
        <w:t>. These w</w:t>
      </w:r>
      <w:r w:rsidR="00740C30">
        <w:t>ill</w:t>
      </w:r>
      <w:r w:rsidR="00700312">
        <w:t xml:space="preserve"> include</w:t>
      </w:r>
      <w:r w:rsidRPr="00E701FC">
        <w:rPr>
          <w:rFonts w:hint="cs"/>
        </w:rPr>
        <w:t xml:space="preserve"> time-boxing and visual scheduling</w:t>
      </w:r>
      <w:r w:rsidR="00700312">
        <w:t>,</w:t>
      </w:r>
      <w:r w:rsidRPr="00E701FC">
        <w:rPr>
          <w:rFonts w:hint="cs"/>
        </w:rPr>
        <w:t xml:space="preserve"> tailored study and memory strategies</w:t>
      </w:r>
      <w:r w:rsidR="00700312">
        <w:t>,</w:t>
      </w:r>
      <w:r w:rsidRPr="00E701FC">
        <w:rPr>
          <w:rFonts w:hint="cs"/>
        </w:rPr>
        <w:t xml:space="preserve"> communication scripts for classroom and workplace conversations</w:t>
      </w:r>
      <w:r w:rsidR="00700312">
        <w:t>,</w:t>
      </w:r>
      <w:r w:rsidRPr="00E701FC">
        <w:rPr>
          <w:rFonts w:hint="cs"/>
        </w:rPr>
        <w:t xml:space="preserve"> and emotion</w:t>
      </w:r>
      <w:r w:rsidR="004221E4">
        <w:t xml:space="preserve"> </w:t>
      </w:r>
      <w:r w:rsidRPr="00E701FC">
        <w:rPr>
          <w:rFonts w:hint="cs"/>
        </w:rPr>
        <w:t>regulation practices suited to workshop floors and clinical placements. Peer mentorship scaffolds w</w:t>
      </w:r>
      <w:r w:rsidR="00740C30">
        <w:t>ill</w:t>
      </w:r>
      <w:r w:rsidRPr="00E701FC">
        <w:rPr>
          <w:rFonts w:hint="cs"/>
        </w:rPr>
        <w:t xml:space="preserve"> help build belonging and self-advocacy alongside the group sessions. </w:t>
      </w:r>
    </w:p>
    <w:p w14:paraId="127EB329" w14:textId="4DD54432" w:rsidR="00E80EB2" w:rsidRPr="00E701FC" w:rsidRDefault="00E80EB2" w:rsidP="00E80EB2">
      <w:pPr>
        <w:pStyle w:val="JANZSSABodycopy"/>
      </w:pPr>
      <w:r w:rsidRPr="00E701FC">
        <w:rPr>
          <w:rFonts w:hint="cs"/>
        </w:rPr>
        <w:t>Concurrently, tailored professional learning modules would be delivered to teaching staff, covering neurodiversity and diverse learning profiles. Inclusive communication, support, sensory-considerate environment design, UDL implementation, and flexible assessment options would help equip trainers to sustain neuro</w:t>
      </w:r>
      <w:r w:rsidR="00C84F86">
        <w:t>-</w:t>
      </w:r>
      <w:r w:rsidRPr="00E701FC">
        <w:rPr>
          <w:rFonts w:hint="cs"/>
        </w:rPr>
        <w:t>affirming practice beyond the pilot's duration</w:t>
      </w:r>
      <w:r w:rsidR="005C7179">
        <w:t xml:space="preserve"> (</w:t>
      </w:r>
      <w:r w:rsidR="005C7179" w:rsidRPr="00C86D65">
        <w:rPr>
          <w:rFonts w:eastAsia="Times New Roman" w:hint="cs"/>
          <w:color w:val="000000" w:themeColor="text1"/>
          <w:lang w:val="en-IN" w:eastAsia="en-GB"/>
        </w:rPr>
        <w:t>Safer-Lichtenstein</w:t>
      </w:r>
      <w:r w:rsidR="005C7179">
        <w:rPr>
          <w:rFonts w:eastAsia="Times New Roman"/>
          <w:color w:val="000000" w:themeColor="text1"/>
          <w:lang w:val="en-IN" w:eastAsia="en-GB"/>
        </w:rPr>
        <w:t xml:space="preserve"> et al., 2024)</w:t>
      </w:r>
      <w:r w:rsidRPr="00E701FC">
        <w:rPr>
          <w:rFonts w:hint="cs"/>
        </w:rPr>
        <w:t xml:space="preserve">. </w:t>
      </w:r>
    </w:p>
    <w:p w14:paraId="21ABE5F7" w14:textId="31C5A6FE" w:rsidR="00E80EB2" w:rsidRPr="00E701FC" w:rsidRDefault="00E80EB2" w:rsidP="00E80EB2">
      <w:pPr>
        <w:pStyle w:val="JANZSSABodycopy"/>
      </w:pPr>
      <w:r w:rsidRPr="00E701FC">
        <w:rPr>
          <w:rFonts w:hint="cs"/>
        </w:rPr>
        <w:t>A pre-post evaluation using validated measures would assess outcomes across five dimensions: student engagement and belonging</w:t>
      </w:r>
      <w:r w:rsidR="00F45657">
        <w:t>,</w:t>
      </w:r>
      <w:r w:rsidRPr="00E701FC">
        <w:rPr>
          <w:rFonts w:hint="cs"/>
        </w:rPr>
        <w:t xml:space="preserve"> course retention</w:t>
      </w:r>
      <w:r w:rsidR="00F45657">
        <w:t>,</w:t>
      </w:r>
      <w:r w:rsidRPr="00E701FC">
        <w:rPr>
          <w:rFonts w:hint="cs"/>
        </w:rPr>
        <w:t xml:space="preserve"> self-advocacy and help-seeking confidence</w:t>
      </w:r>
      <w:r w:rsidR="00F45657">
        <w:t>,</w:t>
      </w:r>
      <w:r w:rsidRPr="00E701FC">
        <w:rPr>
          <w:rFonts w:hint="cs"/>
        </w:rPr>
        <w:t xml:space="preserve"> readiness for work-integrated learning and employment</w:t>
      </w:r>
      <w:r w:rsidR="00F45657">
        <w:t>,</w:t>
      </w:r>
      <w:r w:rsidRPr="00E701FC">
        <w:rPr>
          <w:rFonts w:hint="cs"/>
        </w:rPr>
        <w:t xml:space="preserve"> and educator confidence and practice change. </w:t>
      </w:r>
    </w:p>
    <w:p w14:paraId="5AA205CD" w14:textId="71BC8F8B" w:rsidR="00E80EB2" w:rsidRPr="00E701FC" w:rsidRDefault="00E80EB2" w:rsidP="00E80EB2">
      <w:pPr>
        <w:pStyle w:val="JANZSSAHeading1"/>
      </w:pPr>
      <w:r w:rsidRPr="00E701FC">
        <w:rPr>
          <w:rFonts w:hint="cs"/>
        </w:rPr>
        <w:t xml:space="preserve">Data </w:t>
      </w:r>
      <w:r w:rsidR="00CD076D">
        <w:t>a</w:t>
      </w:r>
      <w:r w:rsidRPr="00E701FC">
        <w:t xml:space="preserve">nalysis </w:t>
      </w:r>
      <w:r>
        <w:t>a</w:t>
      </w:r>
      <w:r w:rsidRPr="00E701FC">
        <w:t xml:space="preserve">nd </w:t>
      </w:r>
      <w:r w:rsidR="00CD076D">
        <w:t>r</w:t>
      </w:r>
      <w:r w:rsidRPr="00E701FC">
        <w:t>esults</w:t>
      </w:r>
    </w:p>
    <w:p w14:paraId="14C577D8" w14:textId="7BD48F4F" w:rsidR="00E80EB2" w:rsidRPr="00D03DB4" w:rsidRDefault="00E80EB2" w:rsidP="00886CF5">
      <w:pPr>
        <w:pStyle w:val="JANZSSABodycopy"/>
      </w:pPr>
      <w:r w:rsidRPr="00E701FC">
        <w:rPr>
          <w:rFonts w:hint="cs"/>
        </w:rPr>
        <w:t>Quantitative data will be analysed using paired t-tests and regression; qualitative data from open-ended responses will be analysed thematically. Together</w:t>
      </w:r>
      <w:r>
        <w:t>,</w:t>
      </w:r>
      <w:r w:rsidRPr="00E701FC">
        <w:rPr>
          <w:rFonts w:hint="cs"/>
        </w:rPr>
        <w:t xml:space="preserve"> these methods will generate both the outcome data needed to make the case for scaling and the process data needed to understand what works, for whom, and under what conditions. The data would help build </w:t>
      </w:r>
      <w:r>
        <w:t xml:space="preserve">a </w:t>
      </w:r>
      <w:r w:rsidRPr="00E701FC">
        <w:rPr>
          <w:rFonts w:hint="cs"/>
        </w:rPr>
        <w:t>defensible evidence base that the VET sector currently lacks for neuro</w:t>
      </w:r>
      <w:r w:rsidR="00C84F86">
        <w:t>-</w:t>
      </w:r>
      <w:r w:rsidRPr="00E701FC">
        <w:rPr>
          <w:rFonts w:hint="cs"/>
        </w:rPr>
        <w:t>affirming practice.</w:t>
      </w:r>
    </w:p>
    <w:p w14:paraId="7693624C" w14:textId="720F34B0" w:rsidR="00E80EB2" w:rsidRPr="00E701FC" w:rsidRDefault="00E80EB2" w:rsidP="00886CF5">
      <w:pPr>
        <w:pStyle w:val="JANZSSAHeading1"/>
      </w:pPr>
      <w:r w:rsidRPr="00E701FC">
        <w:rPr>
          <w:rFonts w:hint="cs"/>
        </w:rPr>
        <w:t xml:space="preserve">Expected </w:t>
      </w:r>
      <w:r w:rsidR="00CD076D">
        <w:t>o</w:t>
      </w:r>
      <w:r w:rsidRPr="00E701FC">
        <w:rPr>
          <w:rFonts w:hint="cs"/>
        </w:rPr>
        <w:t>utcomes</w:t>
      </w:r>
    </w:p>
    <w:p w14:paraId="0F2EECBB" w14:textId="5FED6164" w:rsidR="00E80EB2" w:rsidRPr="00E701FC" w:rsidRDefault="00E80EB2" w:rsidP="00886CF5">
      <w:pPr>
        <w:pStyle w:val="JANZSSABodycopy"/>
      </w:pPr>
      <w:r w:rsidRPr="00E701FC">
        <w:rPr>
          <w:rFonts w:hint="cs"/>
        </w:rPr>
        <w:t xml:space="preserve">Three levels of expected outcome follow from this design. At the student level, </w:t>
      </w:r>
      <w:r w:rsidR="00740C30">
        <w:t xml:space="preserve">it is anticipated that </w:t>
      </w:r>
      <w:r w:rsidRPr="00E701FC">
        <w:rPr>
          <w:rFonts w:hint="cs"/>
        </w:rPr>
        <w:t>the</w:t>
      </w:r>
      <w:r w:rsidR="00740C30">
        <w:t xml:space="preserve"> outcomes from the initiative will include</w:t>
      </w:r>
      <w:r w:rsidRPr="00E701FC">
        <w:rPr>
          <w:rFonts w:hint="cs"/>
        </w:rPr>
        <w:t xml:space="preserve"> improved course completion rates among neurodivergent learners, </w:t>
      </w:r>
      <w:r>
        <w:t>greater confidence in</w:t>
      </w:r>
      <w:r w:rsidRPr="00E701FC">
        <w:rPr>
          <w:rFonts w:hint="cs"/>
        </w:rPr>
        <w:t xml:space="preserve"> self-advocacy and help-seeking, and greater readiness for work-integrated learning and employment</w:t>
      </w:r>
      <w:r>
        <w:t>,</w:t>
      </w:r>
      <w:r w:rsidRPr="00E701FC">
        <w:rPr>
          <w:rFonts w:hint="cs"/>
        </w:rPr>
        <w:t xml:space="preserve"> particularly in care and support sectors experiencing ongoing workforce shortages. </w:t>
      </w:r>
    </w:p>
    <w:p w14:paraId="163C83CC" w14:textId="6D31E3FE" w:rsidR="00E80EB2" w:rsidRPr="00E701FC" w:rsidRDefault="00E80EB2" w:rsidP="00886CF5">
      <w:pPr>
        <w:pStyle w:val="JANZSSABodycopy"/>
      </w:pPr>
      <w:r w:rsidRPr="00E701FC">
        <w:rPr>
          <w:rFonts w:hint="cs"/>
        </w:rPr>
        <w:t xml:space="preserve">At the institutional level, it </w:t>
      </w:r>
      <w:r w:rsidR="005B581F">
        <w:t xml:space="preserve">is </w:t>
      </w:r>
      <w:r w:rsidRPr="00E701FC">
        <w:rPr>
          <w:rFonts w:hint="cs"/>
        </w:rPr>
        <w:t>anticipate</w:t>
      </w:r>
      <w:r w:rsidR="005B581F">
        <w:t>d that the initiative will</w:t>
      </w:r>
      <w:r w:rsidRPr="00E701FC">
        <w:rPr>
          <w:rFonts w:hint="cs"/>
        </w:rPr>
        <w:t xml:space="preserve"> improve staff confidence and capability in neuro</w:t>
      </w:r>
      <w:r w:rsidR="00C84F86">
        <w:t>-</w:t>
      </w:r>
      <w:r w:rsidRPr="00E701FC">
        <w:rPr>
          <w:rFonts w:hint="cs"/>
        </w:rPr>
        <w:t xml:space="preserve">affirming practice, more consistent application of inclusive design across </w:t>
      </w:r>
      <w:r w:rsidRPr="00E701FC">
        <w:rPr>
          <w:rFonts w:hint="cs"/>
        </w:rPr>
        <w:lastRenderedPageBreak/>
        <w:t xml:space="preserve">departments, and open-access resources and governance structures that sustain the model beyond the pilot phase. </w:t>
      </w:r>
    </w:p>
    <w:p w14:paraId="2A98F5FD" w14:textId="7CC82FE7" w:rsidR="00E80EB2" w:rsidRPr="00E701FC" w:rsidRDefault="00E80EB2" w:rsidP="00886CF5">
      <w:pPr>
        <w:pStyle w:val="JANZSSABodycopy"/>
      </w:pPr>
      <w:r w:rsidRPr="00E701FC">
        <w:rPr>
          <w:rFonts w:hint="cs"/>
        </w:rPr>
        <w:t>At the sector level, the initiative will generate the first empirical evidence of a structured, co-designed, neuro</w:t>
      </w:r>
      <w:r w:rsidR="00C84F86">
        <w:t>-</w:t>
      </w:r>
      <w:r w:rsidRPr="00E701FC">
        <w:rPr>
          <w:rFonts w:hint="cs"/>
        </w:rPr>
        <w:t>affirming support model in the Australian VET context</w:t>
      </w:r>
      <w:r>
        <w:t>.</w:t>
      </w:r>
      <w:r w:rsidRPr="00E701FC">
        <w:rPr>
          <w:rFonts w:hint="cs"/>
        </w:rPr>
        <w:t xml:space="preserve"> </w:t>
      </w:r>
      <w:r w:rsidR="00A60997">
        <w:t>This will l</w:t>
      </w:r>
      <w:r w:rsidRPr="00E701FC">
        <w:rPr>
          <w:rFonts w:hint="cs"/>
        </w:rPr>
        <w:t>ay a foundation for adaptation and scaling across the national TAFE network and contribut</w:t>
      </w:r>
      <w:r w:rsidR="00A60997">
        <w:t>e</w:t>
      </w:r>
      <w:r w:rsidRPr="00E701FC">
        <w:rPr>
          <w:rFonts w:hint="cs"/>
        </w:rPr>
        <w:t xml:space="preserve"> to policy development in inclusive education and workforce planning.</w:t>
      </w:r>
    </w:p>
    <w:p w14:paraId="4921AC53" w14:textId="771B07CF" w:rsidR="00E80EB2" w:rsidRPr="00E701FC" w:rsidRDefault="00E80EB2" w:rsidP="00886CF5">
      <w:pPr>
        <w:pStyle w:val="JANZSSAHeading1"/>
      </w:pPr>
      <w:r w:rsidRPr="00E701FC">
        <w:rPr>
          <w:rFonts w:hint="cs"/>
        </w:rPr>
        <w:t xml:space="preserve">Implementation </w:t>
      </w:r>
      <w:r w:rsidR="00CD076D">
        <w:t>r</w:t>
      </w:r>
      <w:r w:rsidRPr="00E701FC">
        <w:t xml:space="preserve">oadmap for </w:t>
      </w:r>
      <w:r w:rsidRPr="00E701FC">
        <w:rPr>
          <w:rFonts w:hint="cs"/>
        </w:rPr>
        <w:t xml:space="preserve">TAFE </w:t>
      </w:r>
      <w:r w:rsidR="00CD076D">
        <w:t>s</w:t>
      </w:r>
      <w:r w:rsidRPr="00E701FC">
        <w:t>ervices</w:t>
      </w:r>
    </w:p>
    <w:p w14:paraId="2BDCB595" w14:textId="14B63F00" w:rsidR="00E80EB2" w:rsidRPr="00886CF5" w:rsidRDefault="00E80EB2" w:rsidP="00886CF5">
      <w:pPr>
        <w:pStyle w:val="JANZSSAHeading2"/>
      </w:pPr>
      <w:r w:rsidRPr="00886CF5">
        <w:rPr>
          <w:rFonts w:hint="cs"/>
        </w:rPr>
        <w:t xml:space="preserve">Measurement </w:t>
      </w:r>
      <w:r w:rsidRPr="00886CF5">
        <w:t xml:space="preserve">and </w:t>
      </w:r>
      <w:r w:rsidR="00CD076D">
        <w:t>q</w:t>
      </w:r>
      <w:r w:rsidRPr="00886CF5">
        <w:t xml:space="preserve">uality </w:t>
      </w:r>
      <w:r w:rsidR="00CD076D">
        <w:t>i</w:t>
      </w:r>
      <w:r w:rsidRPr="00886CF5">
        <w:t xml:space="preserve">mprovement </w:t>
      </w:r>
    </w:p>
    <w:p w14:paraId="4D2EEF44" w14:textId="099AA671" w:rsidR="00E80EB2" w:rsidRPr="00E701FC" w:rsidRDefault="00E80EB2" w:rsidP="00886CF5">
      <w:pPr>
        <w:pStyle w:val="JANZSSABodycopy"/>
      </w:pPr>
      <w:r w:rsidRPr="00E701FC">
        <w:rPr>
          <w:rFonts w:hint="cs"/>
        </w:rPr>
        <w:t xml:space="preserve">Across all three phases, consistent data collection </w:t>
      </w:r>
      <w:r w:rsidR="005B581F">
        <w:t xml:space="preserve">will </w:t>
      </w:r>
      <w:r w:rsidRPr="00E701FC">
        <w:rPr>
          <w:rFonts w:hint="cs"/>
        </w:rPr>
        <w:t>ensure the initiative generates the defensible evidence base that the VET sector currently lacks for neuro</w:t>
      </w:r>
      <w:r w:rsidR="00C84F86">
        <w:t>-</w:t>
      </w:r>
      <w:r w:rsidRPr="00E701FC">
        <w:rPr>
          <w:rFonts w:hint="cs"/>
        </w:rPr>
        <w:t>affirming practice. Disaggregated reporting by cohort</w:t>
      </w:r>
      <w:r>
        <w:t>,</w:t>
      </w:r>
      <w:r w:rsidRPr="00E701FC">
        <w:rPr>
          <w:rFonts w:hint="cs"/>
        </w:rPr>
        <w:t xml:space="preserve"> including </w:t>
      </w:r>
      <w:r>
        <w:t xml:space="preserve">the vulnerable student groups mentioned earlier, </w:t>
      </w:r>
      <w:r w:rsidRPr="00E701FC">
        <w:rPr>
          <w:rFonts w:hint="cs"/>
        </w:rPr>
        <w:t>makes equity gaps visible and informs targeted improvement. Results will be reported to institutional leadership with recommendations for integration into standard operating procedures, ensuring the initiative's findings move from pilot evidence to embedded practice rather than remaining at the research stage. Future longitudinal research, tracking outcomes at six months and one year post</w:t>
      </w:r>
      <w:r w:rsidR="00105AA3">
        <w:t xml:space="preserve"> </w:t>
      </w:r>
      <w:r w:rsidRPr="00E701FC">
        <w:rPr>
          <w:rFonts w:hint="cs"/>
        </w:rPr>
        <w:t xml:space="preserve">intervention, will assess the model's effectiveness over time and build the evidence base for </w:t>
      </w:r>
      <w:r w:rsidR="00AA3B28">
        <w:t xml:space="preserve">key stakeholders. These will include </w:t>
      </w:r>
      <w:r w:rsidRPr="00E701FC">
        <w:rPr>
          <w:rFonts w:hint="cs"/>
        </w:rPr>
        <w:t xml:space="preserve">internal stakeholders such as educators and institutional leaders </w:t>
      </w:r>
      <w:r w:rsidR="00AA3B28">
        <w:t>and</w:t>
      </w:r>
      <w:r w:rsidRPr="00E701FC">
        <w:rPr>
          <w:rFonts w:hint="cs"/>
        </w:rPr>
        <w:t xml:space="preserve"> external stakeholders</w:t>
      </w:r>
      <w:r>
        <w:t>,</w:t>
      </w:r>
      <w:r w:rsidRPr="00E701FC">
        <w:rPr>
          <w:rFonts w:hint="cs"/>
        </w:rPr>
        <w:t xml:space="preserve"> including employers and sector bodies.</w:t>
      </w:r>
    </w:p>
    <w:p w14:paraId="1C9DF140" w14:textId="77777777" w:rsidR="00E80EB2" w:rsidRPr="00886CF5" w:rsidRDefault="00E80EB2" w:rsidP="00886CF5">
      <w:pPr>
        <w:pStyle w:val="JANZSSAHeading2"/>
      </w:pPr>
      <w:r w:rsidRPr="00886CF5">
        <w:t xml:space="preserve">Scalability </w:t>
      </w:r>
    </w:p>
    <w:p w14:paraId="723CED27" w14:textId="30D5438A" w:rsidR="00E80EB2" w:rsidRPr="00E701FC" w:rsidRDefault="00E80EB2" w:rsidP="00886CF5">
      <w:pPr>
        <w:pStyle w:val="JANZSSABodycopy"/>
      </w:pPr>
      <w:r w:rsidRPr="00E701FC">
        <w:rPr>
          <w:rFonts w:hint="cs"/>
        </w:rPr>
        <w:t xml:space="preserve">The model is designed from the outset for adaptation and scaling. Open-access resources developed during the co-design phase, including staff professional learning modules, student-facing materials in multiple formats, and program governance frameworks, will be made available to the national TAFE </w:t>
      </w:r>
      <w:r w:rsidR="005B581F">
        <w:t>N</w:t>
      </w:r>
      <w:r w:rsidRPr="00E701FC">
        <w:rPr>
          <w:rFonts w:hint="cs"/>
        </w:rPr>
        <w:t>etwork under a non-exclusive licence. The evidence generated through the pilot evaluation will provide a foundation for adaptation across TAFEs of different sizes, cohort profiles</w:t>
      </w:r>
      <w:r>
        <w:t>,</w:t>
      </w:r>
      <w:r w:rsidRPr="00E701FC">
        <w:rPr>
          <w:rFonts w:hint="cs"/>
        </w:rPr>
        <w:t xml:space="preserve"> and regional contexts</w:t>
      </w:r>
      <w:r>
        <w:t xml:space="preserve">. The data collected </w:t>
      </w:r>
      <w:r w:rsidR="005B581F">
        <w:t>will</w:t>
      </w:r>
      <w:r w:rsidRPr="00E701FC">
        <w:rPr>
          <w:rFonts w:hint="cs"/>
        </w:rPr>
        <w:t xml:space="preserve"> contribut</w:t>
      </w:r>
      <w:r>
        <w:t>e</w:t>
      </w:r>
      <w:r w:rsidRPr="00E701FC">
        <w:rPr>
          <w:rFonts w:hint="cs"/>
        </w:rPr>
        <w:t xml:space="preserve"> to system-level improvements in training accessibility and workforce development </w:t>
      </w:r>
      <w:r>
        <w:t>in</w:t>
      </w:r>
      <w:r w:rsidRPr="00E701FC">
        <w:rPr>
          <w:rFonts w:hint="cs"/>
        </w:rPr>
        <w:t xml:space="preserve"> sectors where neurodivergent learner attrition has the most significant downstream consequences.</w:t>
      </w:r>
    </w:p>
    <w:p w14:paraId="2662E742" w14:textId="4407D98A" w:rsidR="00E80EB2" w:rsidRPr="00E701FC" w:rsidRDefault="00E80EB2" w:rsidP="00886CF5">
      <w:pPr>
        <w:pStyle w:val="JANZSSAHeading1"/>
      </w:pPr>
      <w:r w:rsidRPr="00E701FC">
        <w:rPr>
          <w:rFonts w:hint="cs"/>
        </w:rPr>
        <w:t>Barriers</w:t>
      </w:r>
      <w:r w:rsidRPr="00E701FC">
        <w:t xml:space="preserve">, </w:t>
      </w:r>
      <w:r w:rsidR="00CD076D">
        <w:t>r</w:t>
      </w:r>
      <w:r w:rsidRPr="00E701FC">
        <w:t>isks</w:t>
      </w:r>
      <w:r w:rsidR="005346AA">
        <w:t>,</w:t>
      </w:r>
      <w:r w:rsidRPr="00E701FC">
        <w:t xml:space="preserve"> and </w:t>
      </w:r>
      <w:r w:rsidR="00CD076D">
        <w:t>e</w:t>
      </w:r>
      <w:r w:rsidRPr="00E701FC">
        <w:t xml:space="preserve">nablers </w:t>
      </w:r>
      <w:r>
        <w:t>i</w:t>
      </w:r>
      <w:r w:rsidRPr="00E701FC">
        <w:t xml:space="preserve">n </w:t>
      </w:r>
      <w:r>
        <w:t>t</w:t>
      </w:r>
      <w:r w:rsidRPr="00E701FC">
        <w:t xml:space="preserve">he </w:t>
      </w:r>
      <w:r w:rsidRPr="00E701FC">
        <w:rPr>
          <w:rFonts w:hint="cs"/>
        </w:rPr>
        <w:t xml:space="preserve">VET </w:t>
      </w:r>
      <w:r w:rsidR="00CD076D">
        <w:t>s</w:t>
      </w:r>
      <w:r w:rsidRPr="00E701FC">
        <w:t>ector</w:t>
      </w:r>
    </w:p>
    <w:p w14:paraId="3B4E8CA5" w14:textId="77777777" w:rsidR="00E80EB2" w:rsidRDefault="00E80EB2" w:rsidP="00886CF5">
      <w:pPr>
        <w:pStyle w:val="JANZSSABodycopy"/>
      </w:pPr>
      <w:r w:rsidRPr="00E701FC">
        <w:rPr>
          <w:rFonts w:hint="cs"/>
        </w:rPr>
        <w:t xml:space="preserve">Implementing layered wellbeing systems in TAFE is not without difficulty. The most persistent structural barriers are limited staffing and short funding cycles, which constrain capacity to build programs that require sustained investment. Fragmented workflows between academic areas and student services can mean that a student’s distress is noticed in one part of the institution but not acted upon in another. </w:t>
      </w:r>
    </w:p>
    <w:p w14:paraId="4F765C39" w14:textId="74048740" w:rsidR="00E80EB2" w:rsidRPr="00E701FC" w:rsidRDefault="00E80EB2" w:rsidP="00886CF5">
      <w:pPr>
        <w:pStyle w:val="JANZSSABodycopy"/>
      </w:pPr>
      <w:r w:rsidRPr="00E701FC">
        <w:rPr>
          <w:rFonts w:hint="cs"/>
        </w:rPr>
        <w:t>The complexity of sustaining support across placements and shift work, where students are physically dispersed and often supervised by industry rather than TAFE staff, adds a further layer of challenge. Risk management frameworks must account for fluctuating staffing capacity and the specific environmental safety considerations of workshops, clinical settings</w:t>
      </w:r>
      <w:r w:rsidR="005346AA">
        <w:t>,</w:t>
      </w:r>
      <w:r w:rsidRPr="00E701FC">
        <w:rPr>
          <w:rFonts w:hint="cs"/>
        </w:rPr>
        <w:t xml:space="preserve"> and high-risk trades.</w:t>
      </w:r>
    </w:p>
    <w:p w14:paraId="0ABCDF16" w14:textId="34389272" w:rsidR="00E80EB2" w:rsidRPr="00E701FC" w:rsidRDefault="00E80EB2" w:rsidP="00886CF5">
      <w:pPr>
        <w:pStyle w:val="JANZSSABodycopy"/>
      </w:pPr>
      <w:r w:rsidRPr="00E701FC">
        <w:rPr>
          <w:rFonts w:hint="cs"/>
        </w:rPr>
        <w:t xml:space="preserve">Enablers are equally clear from the evidence and from sector practice. Leadership endorsement and genuine resourcing are the most powerful levers for change. Psychologically safe team cultures, in which staff feel supported </w:t>
      </w:r>
      <w:r>
        <w:t>in</w:t>
      </w:r>
      <w:r w:rsidRPr="00E701FC">
        <w:rPr>
          <w:rFonts w:hint="cs"/>
        </w:rPr>
        <w:t xml:space="preserve"> rais</w:t>
      </w:r>
      <w:r>
        <w:t>ing</w:t>
      </w:r>
      <w:r w:rsidRPr="00E701FC">
        <w:rPr>
          <w:rFonts w:hint="cs"/>
        </w:rPr>
        <w:t xml:space="preserve"> concerns and shar</w:t>
      </w:r>
      <w:r>
        <w:t>ing</w:t>
      </w:r>
      <w:r w:rsidRPr="00E701FC">
        <w:rPr>
          <w:rFonts w:hint="cs"/>
        </w:rPr>
        <w:t xml:space="preserve"> workload, enable the kind of inter-professional collaboration</w:t>
      </w:r>
      <w:r w:rsidR="005B581F">
        <w:t xml:space="preserve"> upon which whole-of-institution approaches depend.</w:t>
      </w:r>
      <w:r w:rsidRPr="00E701FC">
        <w:rPr>
          <w:rFonts w:hint="cs"/>
        </w:rPr>
        <w:t xml:space="preserve"> </w:t>
      </w:r>
    </w:p>
    <w:p w14:paraId="0AC70372" w14:textId="660E34BD" w:rsidR="00E80EB2" w:rsidRPr="00E701FC" w:rsidRDefault="00E80EB2" w:rsidP="00886CF5">
      <w:pPr>
        <w:pStyle w:val="JANZSSAHeading1"/>
      </w:pPr>
      <w:r w:rsidRPr="00E701FC">
        <w:rPr>
          <w:rFonts w:hint="cs"/>
        </w:rPr>
        <w:lastRenderedPageBreak/>
        <w:t xml:space="preserve">Recommendations for the VET </w:t>
      </w:r>
      <w:r w:rsidR="00CD076D">
        <w:t>s</w:t>
      </w:r>
      <w:r w:rsidRPr="00E701FC">
        <w:rPr>
          <w:rFonts w:hint="cs"/>
        </w:rPr>
        <w:t>ector</w:t>
      </w:r>
    </w:p>
    <w:p w14:paraId="0FDBE596" w14:textId="7F16E84B" w:rsidR="00E80EB2" w:rsidRPr="00E701FC" w:rsidRDefault="00E80EB2" w:rsidP="00886CF5">
      <w:pPr>
        <w:pStyle w:val="JANZSSABodycopy"/>
      </w:pPr>
      <w:r>
        <w:t xml:space="preserve">As stated above, </w:t>
      </w:r>
      <w:r w:rsidRPr="00E701FC">
        <w:rPr>
          <w:rFonts w:hint="cs"/>
        </w:rPr>
        <w:t xml:space="preserve">TAFEs should adopt </w:t>
      </w:r>
      <w:r>
        <w:t xml:space="preserve">the proposed model </w:t>
      </w:r>
      <w:r w:rsidRPr="00E701FC">
        <w:rPr>
          <w:rFonts w:hint="cs"/>
        </w:rPr>
        <w:t>for prevention, inclusion, mental health literacy, access</w:t>
      </w:r>
      <w:r w:rsidR="005346AA">
        <w:t>,</w:t>
      </w:r>
      <w:r w:rsidRPr="00E701FC">
        <w:rPr>
          <w:rFonts w:hint="cs"/>
        </w:rPr>
        <w:t xml:space="preserve"> and outcomes measurement. Alongside this, dedicated resourcing for early</w:t>
      </w:r>
      <w:r w:rsidR="00105AA3">
        <w:t xml:space="preserve"> </w:t>
      </w:r>
      <w:r w:rsidRPr="00E701FC">
        <w:rPr>
          <w:rFonts w:hint="cs"/>
        </w:rPr>
        <w:t xml:space="preserve">engagement pathways and scalable group programs is needed to widen reach and reduce reliance on individual counselling appointments. </w:t>
      </w:r>
    </w:p>
    <w:p w14:paraId="020375AD" w14:textId="77777777" w:rsidR="00E80EB2" w:rsidRPr="00E701FC" w:rsidRDefault="00E80EB2" w:rsidP="00886CF5">
      <w:pPr>
        <w:pStyle w:val="JANZSSABodycopy"/>
      </w:pPr>
      <w:r w:rsidRPr="00E701FC">
        <w:rPr>
          <w:rFonts w:hint="cs"/>
        </w:rPr>
        <w:t>Neurodiversity-affirming supports</w:t>
      </w:r>
      <w:r>
        <w:t xml:space="preserve"> </w:t>
      </w:r>
      <w:r w:rsidRPr="00E701FC">
        <w:rPr>
          <w:rFonts w:hint="cs"/>
        </w:rPr>
        <w:t xml:space="preserve">should be prioritised, with streamlined pathways to formal assessment that do not require students to wait a semester for adjustments. Peer-led models, grown with appropriate supervision and governance to ensure safety and fidelity, offer one of the most cost-effective ways to extend support while building community and belonging. </w:t>
      </w:r>
    </w:p>
    <w:p w14:paraId="59C61A94" w14:textId="566CE0B0" w:rsidR="00E80EB2" w:rsidRPr="00522EFE" w:rsidRDefault="00E80EB2" w:rsidP="00886CF5">
      <w:pPr>
        <w:pStyle w:val="JANZSSABodycopy"/>
      </w:pPr>
      <w:r w:rsidRPr="00E701FC">
        <w:rPr>
          <w:rFonts w:hint="cs"/>
        </w:rPr>
        <w:t>Industry partnerships should be formalised to integrate M</w:t>
      </w:r>
      <w:r>
        <w:t xml:space="preserve">ental </w:t>
      </w:r>
      <w:r w:rsidRPr="00E701FC">
        <w:rPr>
          <w:rFonts w:hint="cs"/>
        </w:rPr>
        <w:t>H</w:t>
      </w:r>
      <w:r>
        <w:t xml:space="preserve">ealth </w:t>
      </w:r>
      <w:r w:rsidRPr="00E701FC">
        <w:rPr>
          <w:rFonts w:hint="cs"/>
        </w:rPr>
        <w:t>F</w:t>
      </w:r>
      <w:r>
        <w:t xml:space="preserve">irst </w:t>
      </w:r>
      <w:r w:rsidRPr="00E701FC">
        <w:rPr>
          <w:rFonts w:hint="cs"/>
        </w:rPr>
        <w:t>A</w:t>
      </w:r>
      <w:r>
        <w:t>id</w:t>
      </w:r>
      <w:r w:rsidRPr="00E701FC">
        <w:rPr>
          <w:rFonts w:hint="cs"/>
        </w:rPr>
        <w:t xml:space="preserve"> </w:t>
      </w:r>
      <w:r>
        <w:t xml:space="preserve">(MHFA) </w:t>
      </w:r>
      <w:r w:rsidRPr="00E701FC">
        <w:rPr>
          <w:rFonts w:hint="cs"/>
        </w:rPr>
        <w:t>training and address psychosocial hazards in apprenticeships and placements, where students are often most isolated from campus-based support</w:t>
      </w:r>
      <w:r w:rsidR="005B581F">
        <w:t xml:space="preserve"> (Bhakta et al., 2024)</w:t>
      </w:r>
      <w:r w:rsidRPr="00E701FC">
        <w:rPr>
          <w:rFonts w:hint="cs"/>
        </w:rPr>
        <w:t xml:space="preserve">. Investment in data systems that enable rapid identification of at-risk students, continuity of support across the learner journey, and disaggregated </w:t>
      </w:r>
      <w:r>
        <w:t>monitoring</w:t>
      </w:r>
      <w:r w:rsidRPr="00E701FC">
        <w:rPr>
          <w:rFonts w:hint="cs"/>
        </w:rPr>
        <w:t xml:space="preserve"> </w:t>
      </w:r>
      <w:r>
        <w:t>of outcomes</w:t>
      </w:r>
      <w:r w:rsidRPr="00E701FC">
        <w:rPr>
          <w:rFonts w:hint="cs"/>
        </w:rPr>
        <w:t xml:space="preserve"> by equity cohort will be essential for demonstrating impact and driving improvement. </w:t>
      </w:r>
    </w:p>
    <w:p w14:paraId="1FF68A78" w14:textId="0F3FE17C" w:rsidR="00E80EB2" w:rsidRPr="00E701FC" w:rsidRDefault="00E80EB2" w:rsidP="00886CF5">
      <w:pPr>
        <w:pStyle w:val="JANZSSAHeading1"/>
      </w:pPr>
      <w:r w:rsidRPr="00E701FC">
        <w:rPr>
          <w:rFonts w:hint="cs"/>
        </w:rPr>
        <w:t xml:space="preserve">Limitations and </w:t>
      </w:r>
      <w:r w:rsidR="00CD076D">
        <w:t>f</w:t>
      </w:r>
      <w:r w:rsidRPr="00E701FC">
        <w:rPr>
          <w:rFonts w:hint="cs"/>
        </w:rPr>
        <w:t xml:space="preserve">uture </w:t>
      </w:r>
      <w:r w:rsidR="00CD076D">
        <w:t>d</w:t>
      </w:r>
      <w:r w:rsidRPr="00E701FC">
        <w:rPr>
          <w:rFonts w:hint="cs"/>
        </w:rPr>
        <w:t>irections</w:t>
      </w:r>
    </w:p>
    <w:p w14:paraId="502ADAE2" w14:textId="14F06CD3" w:rsidR="00E80EB2" w:rsidRPr="00E701FC" w:rsidRDefault="00E80EB2" w:rsidP="00886CF5">
      <w:pPr>
        <w:pStyle w:val="JANZSSABodycopy"/>
      </w:pPr>
      <w:r w:rsidRPr="00E701FC">
        <w:rPr>
          <w:rFonts w:hint="cs"/>
        </w:rPr>
        <w:t xml:space="preserve">This professional paper synthesises sector evidence and practitioner observations rather than presenting primary empirical findings. Systematic, VET‑specific prevalence and intervention studies remain limited </w:t>
      </w:r>
      <w:r>
        <w:t>compared</w:t>
      </w:r>
      <w:r w:rsidRPr="00E701FC">
        <w:rPr>
          <w:rFonts w:hint="cs"/>
        </w:rPr>
        <w:t xml:space="preserve"> </w:t>
      </w:r>
      <w:r>
        <w:t>with those for</w:t>
      </w:r>
      <w:r w:rsidRPr="00E701FC">
        <w:rPr>
          <w:rFonts w:hint="cs"/>
        </w:rPr>
        <w:t xml:space="preserve"> universities, constraining </w:t>
      </w:r>
      <w:r>
        <w:t xml:space="preserve">the </w:t>
      </w:r>
      <w:r w:rsidRPr="00E701FC">
        <w:rPr>
          <w:rFonts w:hint="cs"/>
        </w:rPr>
        <w:t xml:space="preserve">precision </w:t>
      </w:r>
      <w:r>
        <w:t>of</w:t>
      </w:r>
      <w:r w:rsidRPr="00E701FC">
        <w:rPr>
          <w:rFonts w:hint="cs"/>
        </w:rPr>
        <w:t xml:space="preserve"> benchmarking. Future research should examine the effectiveness and cost‑effectiveness of layered models across diverse TAFE contexts, with particular attention to rural and remote campuses, apprenticeship settings</w:t>
      </w:r>
      <w:r w:rsidR="005346AA">
        <w:t>,</w:t>
      </w:r>
      <w:r w:rsidRPr="00E701FC">
        <w:rPr>
          <w:rFonts w:hint="cs"/>
        </w:rPr>
        <w:t xml:space="preserve"> and intersectional equity cohorts. Mixed‑methods designs co‑produced with students will be crucial </w:t>
      </w:r>
      <w:r>
        <w:t>for</w:t>
      </w:r>
      <w:r w:rsidRPr="00E701FC">
        <w:rPr>
          <w:rFonts w:hint="cs"/>
        </w:rPr>
        <w:t xml:space="preserve"> captur</w:t>
      </w:r>
      <w:r>
        <w:t>ing</w:t>
      </w:r>
      <w:r w:rsidRPr="00E701FC">
        <w:rPr>
          <w:rFonts w:hint="cs"/>
        </w:rPr>
        <w:t xml:space="preserve"> lived experience and implementation nuance</w:t>
      </w:r>
      <w:r>
        <w:t>s</w:t>
      </w:r>
      <w:r w:rsidRPr="00E701FC">
        <w:rPr>
          <w:rFonts w:hint="cs"/>
        </w:rPr>
        <w:t>.</w:t>
      </w:r>
    </w:p>
    <w:p w14:paraId="171C0046" w14:textId="77777777" w:rsidR="00E80EB2" w:rsidRPr="00E701FC" w:rsidRDefault="00E80EB2" w:rsidP="00886CF5">
      <w:pPr>
        <w:pStyle w:val="JANZSSAHeading1"/>
      </w:pPr>
      <w:r w:rsidRPr="00E701FC">
        <w:rPr>
          <w:rFonts w:hint="cs"/>
        </w:rPr>
        <w:t>Conclusion</w:t>
      </w:r>
    </w:p>
    <w:p w14:paraId="28432DAF" w14:textId="68832639" w:rsidR="00E80EB2" w:rsidRDefault="00E80EB2" w:rsidP="00886CF5">
      <w:pPr>
        <w:pStyle w:val="JANZSSABodycopy"/>
      </w:pPr>
      <w:r w:rsidRPr="00E701FC">
        <w:rPr>
          <w:rFonts w:hint="cs"/>
        </w:rPr>
        <w:t>TAFEs are central to Australia’s education and workforce pipelines and serve many learners for whom inclusive, proactive mental health support is decisive. Moving beyond a therapy‑only paradigm toward a system that is preventative, participator</w:t>
      </w:r>
      <w:r w:rsidR="004A36BE">
        <w:t>y</w:t>
      </w:r>
      <w:r w:rsidR="005346AA">
        <w:t>,</w:t>
      </w:r>
      <w:r w:rsidRPr="00E701FC">
        <w:rPr>
          <w:rFonts w:hint="cs"/>
        </w:rPr>
        <w:t xml:space="preserve"> and embedded in learning will better match student needs and sector realities. By integrating</w:t>
      </w:r>
      <w:r>
        <w:t xml:space="preserve"> the principles proposed above and targeting them to embed </w:t>
      </w:r>
      <w:r w:rsidRPr="00E701FC">
        <w:rPr>
          <w:rFonts w:hint="cs"/>
        </w:rPr>
        <w:t>neurodiversity‑affirming practice</w:t>
      </w:r>
      <w:r>
        <w:t>,</w:t>
      </w:r>
      <w:r w:rsidRPr="00E701FC">
        <w:rPr>
          <w:rFonts w:hint="cs"/>
        </w:rPr>
        <w:t xml:space="preserve"> TAFEs can lift wellbeing, retention</w:t>
      </w:r>
      <w:r w:rsidR="005346AA">
        <w:t>,</w:t>
      </w:r>
      <w:r w:rsidRPr="00E701FC">
        <w:rPr>
          <w:rFonts w:hint="cs"/>
        </w:rPr>
        <w:t xml:space="preserve"> and graduate outcomes in tandem.</w:t>
      </w:r>
    </w:p>
    <w:p w14:paraId="25219864" w14:textId="77777777" w:rsidR="005675C2" w:rsidRDefault="005675C2" w:rsidP="005675C2">
      <w:pPr>
        <w:pStyle w:val="JANZSSAHeading1"/>
      </w:pPr>
      <w:r w:rsidRPr="005675C2">
        <w:t>Acknowledgement</w:t>
      </w:r>
    </w:p>
    <w:p w14:paraId="3B7E37FD" w14:textId="4DBEA089" w:rsidR="005675C2" w:rsidRDefault="005675C2" w:rsidP="005675C2">
      <w:pPr>
        <w:pStyle w:val="JANZSSABodycopy"/>
      </w:pPr>
      <w:r w:rsidRPr="005675C2">
        <w:t>The author used AI-assisted tools (Chat GPT and Claude) to support early drafting and structural organisation. Final writing, critical analysis, and revisions were completed by the author.</w:t>
      </w:r>
    </w:p>
    <w:p w14:paraId="62B76EE2" w14:textId="517967F6" w:rsidR="00771F30" w:rsidRDefault="00771F30" w:rsidP="00886CF5">
      <w:pPr>
        <w:pStyle w:val="JANZSSABodycopy"/>
      </w:pPr>
      <w:r>
        <w:br w:type="page"/>
      </w:r>
    </w:p>
    <w:p w14:paraId="5EE728AA" w14:textId="77777777" w:rsidR="002022FE" w:rsidRPr="00DC44E3" w:rsidRDefault="002022FE" w:rsidP="00BB7D85">
      <w:pPr>
        <w:pStyle w:val="JANZSSAHeading1"/>
        <w:rPr>
          <w:rtl/>
        </w:rPr>
      </w:pPr>
      <w:r w:rsidRPr="00DC44E3">
        <w:rPr>
          <w:lang w:bidi="fa-IR"/>
        </w:rPr>
        <w:lastRenderedPageBreak/>
        <w:t>References</w:t>
      </w:r>
    </w:p>
    <w:p w14:paraId="71A5039C" w14:textId="2EB79A5B" w:rsidR="00E80EB2" w:rsidRPr="00C86D65" w:rsidRDefault="00E80EB2" w:rsidP="00C86D65">
      <w:pPr>
        <w:pStyle w:val="JANZSSAreferences"/>
        <w:rPr>
          <w:color w:val="000000" w:themeColor="text1"/>
        </w:rPr>
      </w:pPr>
      <w:proofErr w:type="spellStart"/>
      <w:r w:rsidRPr="00C86D65">
        <w:rPr>
          <w:rFonts w:hint="cs"/>
        </w:rPr>
        <w:t>Andrahannadi</w:t>
      </w:r>
      <w:proofErr w:type="spellEnd"/>
      <w:r w:rsidRPr="00C86D65">
        <w:rPr>
          <w:rFonts w:hint="cs"/>
        </w:rPr>
        <w:t>, U</w:t>
      </w:r>
      <w:r w:rsidRPr="00C86D65">
        <w:t>.,</w:t>
      </w:r>
      <w:r w:rsidRPr="00C86D65">
        <w:rPr>
          <w:rFonts w:hint="cs"/>
        </w:rPr>
        <w:t xml:space="preserve"> &amp; Griffin, T</w:t>
      </w:r>
      <w:r w:rsidRPr="00C86D65">
        <w:t>.</w:t>
      </w:r>
      <w:r w:rsidRPr="00C86D65">
        <w:rPr>
          <w:rFonts w:hint="cs"/>
        </w:rPr>
        <w:t xml:space="preserve"> (2025)</w:t>
      </w:r>
      <w:r w:rsidRPr="00C86D65">
        <w:t>.</w:t>
      </w:r>
      <w:r w:rsidRPr="00C86D65">
        <w:rPr>
          <w:rFonts w:hint="cs"/>
        </w:rPr>
        <w:t xml:space="preserve"> </w:t>
      </w:r>
      <w:r w:rsidRPr="00C86D65">
        <w:rPr>
          <w:rFonts w:hint="cs"/>
          <w:i/>
          <w:iCs/>
        </w:rPr>
        <w:t xml:space="preserve">Student support: </w:t>
      </w:r>
      <w:r w:rsidRPr="00C86D65">
        <w:rPr>
          <w:i/>
          <w:iCs/>
        </w:rPr>
        <w:t>E</w:t>
      </w:r>
      <w:r w:rsidRPr="00C86D65">
        <w:rPr>
          <w:rFonts w:hint="cs"/>
          <w:i/>
          <w:iCs/>
        </w:rPr>
        <w:t>nabling the learner journey</w:t>
      </w:r>
      <w:r w:rsidRPr="00C86D65">
        <w:t xml:space="preserve">. </w:t>
      </w:r>
      <w:r w:rsidR="008052AE" w:rsidRPr="008052AE">
        <w:t>National Centre for Vocational Education Research</w:t>
      </w:r>
      <w:r w:rsidRPr="00C86D65">
        <w:t>.</w:t>
      </w:r>
      <w:r w:rsidRPr="00C86D65">
        <w:rPr>
          <w:rFonts w:hint="cs"/>
        </w:rPr>
        <w:t xml:space="preserve"> </w:t>
      </w:r>
      <w:r w:rsidR="008052AE" w:rsidRPr="008052AE">
        <w:t>https://www.ncver.edu.au/research-and-statistics/publications/all-publications/student-support-enabling-the-learner-journey</w:t>
      </w:r>
    </w:p>
    <w:p w14:paraId="31441853" w14:textId="2806F59B" w:rsidR="008D28BE" w:rsidRDefault="008D28BE" w:rsidP="008D28BE">
      <w:pPr>
        <w:pStyle w:val="JANZSSAreferences"/>
        <w:rPr>
          <w:color w:val="000000" w:themeColor="text1"/>
        </w:rPr>
      </w:pPr>
      <w:r w:rsidRPr="001A40DA">
        <w:rPr>
          <w:color w:val="000000" w:themeColor="text1"/>
        </w:rPr>
        <w:t>Attorney-General's Department</w:t>
      </w:r>
      <w:r>
        <w:rPr>
          <w:color w:val="000000" w:themeColor="text1"/>
        </w:rPr>
        <w:t>. (2005).</w:t>
      </w:r>
      <w:r w:rsidRPr="008D28BE">
        <w:rPr>
          <w:i/>
          <w:iCs/>
          <w:color w:val="000000" w:themeColor="text1"/>
        </w:rPr>
        <w:t xml:space="preserve"> </w:t>
      </w:r>
      <w:r w:rsidRPr="001A40DA">
        <w:rPr>
          <w:i/>
          <w:iCs/>
          <w:color w:val="000000" w:themeColor="text1"/>
        </w:rPr>
        <w:t>Disability Standards for Education 2005</w:t>
      </w:r>
      <w:r w:rsidRPr="00287EF6">
        <w:rPr>
          <w:color w:val="000000" w:themeColor="text1"/>
        </w:rPr>
        <w:t>. https://www.legislation.gov.au/F2005L00767/latest/text</w:t>
      </w:r>
      <w:r>
        <w:rPr>
          <w:color w:val="000000" w:themeColor="text1"/>
        </w:rPr>
        <w:t xml:space="preserve"> </w:t>
      </w:r>
    </w:p>
    <w:p w14:paraId="6288649E" w14:textId="69B286B9" w:rsidR="00E80EB2" w:rsidRPr="00C86D65" w:rsidRDefault="00E80EB2" w:rsidP="00C86D65">
      <w:pPr>
        <w:pStyle w:val="JANZSSAreferences"/>
        <w:rPr>
          <w:color w:val="000000" w:themeColor="text1"/>
        </w:rPr>
      </w:pPr>
      <w:r w:rsidRPr="00C86D65">
        <w:rPr>
          <w:rFonts w:hint="cs"/>
          <w:color w:val="000000" w:themeColor="text1"/>
        </w:rPr>
        <w:t xml:space="preserve">Australian Council </w:t>
      </w:r>
      <w:r w:rsidRPr="00C86D65">
        <w:rPr>
          <w:color w:val="000000" w:themeColor="text1"/>
        </w:rPr>
        <w:t>o</w:t>
      </w:r>
      <w:r w:rsidRPr="00C86D65">
        <w:rPr>
          <w:rFonts w:hint="cs"/>
          <w:color w:val="000000" w:themeColor="text1"/>
        </w:rPr>
        <w:t>f Social Service</w:t>
      </w:r>
      <w:r w:rsidR="00244275">
        <w:rPr>
          <w:color w:val="000000" w:themeColor="text1"/>
        </w:rPr>
        <w:t xml:space="preserve"> (ACOSS)</w:t>
      </w:r>
      <w:r w:rsidRPr="00C86D65">
        <w:rPr>
          <w:rFonts w:hint="cs"/>
          <w:color w:val="000000" w:themeColor="text1"/>
        </w:rPr>
        <w:t xml:space="preserve">. (2020). </w:t>
      </w:r>
      <w:r w:rsidRPr="00C86D65">
        <w:rPr>
          <w:rFonts w:hint="cs"/>
          <w:i/>
          <w:iCs/>
          <w:color w:val="000000" w:themeColor="text1"/>
        </w:rPr>
        <w:t>The impact of financial distress on mental health during COVID‑19</w:t>
      </w:r>
      <w:r w:rsidRPr="00C86D65">
        <w:rPr>
          <w:rFonts w:hint="cs"/>
          <w:color w:val="000000" w:themeColor="text1"/>
        </w:rPr>
        <w:t xml:space="preserve"> </w:t>
      </w:r>
      <w:r w:rsidRPr="00C86D65">
        <w:rPr>
          <w:color w:val="000000" w:themeColor="text1"/>
        </w:rPr>
        <w:t>[</w:t>
      </w:r>
      <w:r w:rsidRPr="00C86D65">
        <w:rPr>
          <w:rFonts w:hint="cs"/>
          <w:color w:val="000000" w:themeColor="text1"/>
        </w:rPr>
        <w:t>Briefing note</w:t>
      </w:r>
      <w:r w:rsidRPr="00C86D65">
        <w:rPr>
          <w:color w:val="000000" w:themeColor="text1"/>
        </w:rPr>
        <w:t>]</w:t>
      </w:r>
      <w:r w:rsidRPr="00C86D65">
        <w:rPr>
          <w:rFonts w:hint="cs"/>
          <w:color w:val="000000" w:themeColor="text1"/>
        </w:rPr>
        <w:t xml:space="preserve">. </w:t>
      </w:r>
      <w:r w:rsidR="008052AE" w:rsidRPr="008052AE">
        <w:rPr>
          <w:color w:val="000000" w:themeColor="text1"/>
        </w:rPr>
        <w:t>https://www.acoss.org.au/wp-content/uploads/2020/09/2020_08_28_ACOSS-Briefing-Paper_Impact-of-financial-distress-on-mental-health-re-COVID-19-2.pdf</w:t>
      </w:r>
    </w:p>
    <w:p w14:paraId="2588DF6F" w14:textId="0A933E11" w:rsidR="00E80EB2" w:rsidRPr="00C86D65" w:rsidRDefault="00E80EB2" w:rsidP="00C86D65">
      <w:pPr>
        <w:pStyle w:val="JANZSSAreferences"/>
        <w:rPr>
          <w:color w:val="000000" w:themeColor="text1"/>
        </w:rPr>
      </w:pPr>
      <w:r w:rsidRPr="00C86D65">
        <w:rPr>
          <w:rFonts w:hint="cs"/>
          <w:color w:val="000000" w:themeColor="text1"/>
        </w:rPr>
        <w:t>Australian Institute of Health and Welfare</w:t>
      </w:r>
      <w:r w:rsidR="00244275">
        <w:rPr>
          <w:color w:val="000000" w:themeColor="text1"/>
        </w:rPr>
        <w:t xml:space="preserve"> (</w:t>
      </w:r>
      <w:r w:rsidR="00244275" w:rsidRPr="00244275">
        <w:rPr>
          <w:color w:val="000000" w:themeColor="text1"/>
        </w:rPr>
        <w:t>AIHW</w:t>
      </w:r>
      <w:r w:rsidR="00244275">
        <w:rPr>
          <w:color w:val="000000" w:themeColor="text1"/>
        </w:rPr>
        <w:t>)</w:t>
      </w:r>
      <w:r w:rsidRPr="00C86D65">
        <w:rPr>
          <w:rFonts w:hint="cs"/>
          <w:color w:val="000000" w:themeColor="text1"/>
        </w:rPr>
        <w:t>. (2025</w:t>
      </w:r>
      <w:r w:rsidR="008052AE">
        <w:rPr>
          <w:color w:val="000000" w:themeColor="text1"/>
        </w:rPr>
        <w:t>, December 2</w:t>
      </w:r>
      <w:r w:rsidRPr="00C86D65">
        <w:rPr>
          <w:rFonts w:hint="cs"/>
          <w:color w:val="000000" w:themeColor="text1"/>
        </w:rPr>
        <w:t xml:space="preserve">). </w:t>
      </w:r>
      <w:r w:rsidRPr="00C86D65">
        <w:rPr>
          <w:rFonts w:hint="cs"/>
          <w:i/>
          <w:iCs/>
          <w:color w:val="000000" w:themeColor="text1"/>
        </w:rPr>
        <w:t>Financial stress and mental health</w:t>
      </w:r>
      <w:r w:rsidRPr="00C86D65">
        <w:rPr>
          <w:rFonts w:hint="cs"/>
          <w:color w:val="000000" w:themeColor="text1"/>
        </w:rPr>
        <w:t xml:space="preserve">. </w:t>
      </w:r>
      <w:r w:rsidRPr="00C86D65">
        <w:rPr>
          <w:rFonts w:hint="cs"/>
        </w:rPr>
        <w:t>https://www.aihw.gov.au/mental-health/topic-areas/other-mental-health-reports/financial-stress</w:t>
      </w:r>
      <w:r w:rsidRPr="00C86D65">
        <w:rPr>
          <w:rFonts w:hint="cs"/>
          <w:color w:val="000000" w:themeColor="text1"/>
        </w:rPr>
        <w:t xml:space="preserve"> </w:t>
      </w:r>
    </w:p>
    <w:p w14:paraId="0EF07D98" w14:textId="0C749D7E" w:rsidR="00E80EB2" w:rsidRPr="00C86D65" w:rsidRDefault="00E80EB2" w:rsidP="00C86D65">
      <w:pPr>
        <w:pStyle w:val="JANZSSAreferences"/>
        <w:rPr>
          <w:color w:val="000000" w:themeColor="text1"/>
        </w:rPr>
      </w:pPr>
      <w:r w:rsidRPr="00C86D65">
        <w:rPr>
          <w:color w:val="000000" w:themeColor="text1"/>
        </w:rPr>
        <w:t>Australian Skills Quality Authority. (2025)</w:t>
      </w:r>
      <w:r w:rsidRPr="00C86D65">
        <w:rPr>
          <w:i/>
          <w:iCs/>
          <w:color w:val="000000" w:themeColor="text1"/>
          <w:lang w:val="en-GB"/>
        </w:rPr>
        <w:t>. Wellbeing practice guide: Quality Area 2 – VET student support</w:t>
      </w:r>
      <w:r w:rsidRPr="00C86D65">
        <w:rPr>
          <w:color w:val="000000" w:themeColor="text1"/>
          <w:lang w:val="en-GB"/>
        </w:rPr>
        <w:t xml:space="preserve">. </w:t>
      </w:r>
      <w:r w:rsidRPr="00C86D65">
        <w:rPr>
          <w:lang w:val="en-GB"/>
        </w:rPr>
        <w:t>https://www.asqa.gov.au/for-providers/standards-for-RTOs/practice-guides/quality-area-2-vet-student-support/wellbeing-practice-guide</w:t>
      </w:r>
      <w:r w:rsidRPr="00C86D65">
        <w:rPr>
          <w:color w:val="000000" w:themeColor="text1"/>
          <w:lang w:val="en-GB"/>
        </w:rPr>
        <w:t xml:space="preserve"> </w:t>
      </w:r>
    </w:p>
    <w:p w14:paraId="3B0EE2A5" w14:textId="77777777" w:rsidR="00E80EB2" w:rsidRPr="00C86D65" w:rsidRDefault="00E80EB2" w:rsidP="00C86D65">
      <w:pPr>
        <w:pStyle w:val="JANZSSAreferences"/>
        <w:rPr>
          <w:color w:val="000000" w:themeColor="text1"/>
          <w:lang w:val="en-IN"/>
        </w:rPr>
      </w:pPr>
      <w:r w:rsidRPr="00C86D65">
        <w:rPr>
          <w:rFonts w:hint="cs"/>
          <w:color w:val="000000" w:themeColor="text1"/>
          <w:lang w:val="en-IN"/>
        </w:rPr>
        <w:t xml:space="preserve">Baik, C., Larcombe, W., Wyn, J., Allen, L., Brett, M., Field, R., James, R., &amp; Brooker, A. (2017). </w:t>
      </w:r>
      <w:r w:rsidRPr="00C86D65">
        <w:rPr>
          <w:rFonts w:hint="cs"/>
          <w:i/>
          <w:iCs/>
          <w:color w:val="000000" w:themeColor="text1"/>
          <w:lang w:val="en-IN"/>
        </w:rPr>
        <w:t>Stimulating curriculum and teaching innovations to support the mental wellbeing of university students</w:t>
      </w:r>
      <w:r w:rsidRPr="00C86D65">
        <w:rPr>
          <w:rFonts w:hint="cs"/>
          <w:color w:val="000000" w:themeColor="text1"/>
          <w:lang w:val="en-IN"/>
        </w:rPr>
        <w:t xml:space="preserve">. Australian Government Department of Education and Training. </w:t>
      </w:r>
    </w:p>
    <w:p w14:paraId="4519B725" w14:textId="4DEA0F5A" w:rsidR="00E80EB2" w:rsidRPr="00C86D65" w:rsidRDefault="00E80EB2" w:rsidP="00C86D65">
      <w:pPr>
        <w:pStyle w:val="JANZSSAreferences"/>
      </w:pPr>
      <w:r w:rsidRPr="00C86D65">
        <w:rPr>
          <w:rFonts w:hint="cs"/>
          <w:color w:val="000000" w:themeColor="text1"/>
        </w:rPr>
        <w:t xml:space="preserve">Bhakta, S., Tsao, E., &amp; Stone, K. (2024). </w:t>
      </w:r>
      <w:r w:rsidRPr="004D4C0F">
        <w:rPr>
          <w:color w:val="000000" w:themeColor="text1"/>
        </w:rPr>
        <w:t>National mixed methods evaluation of Adult and Youth Mental Health First Aid</w:t>
      </w:r>
      <w:r w:rsidRPr="000F1805">
        <w:rPr>
          <w:rFonts w:hint="cs"/>
          <w:color w:val="000000" w:themeColor="text1"/>
        </w:rPr>
        <w:t xml:space="preserve">. </w:t>
      </w:r>
      <w:r w:rsidRPr="00C86D65">
        <w:rPr>
          <w:rFonts w:hint="cs"/>
          <w:i/>
          <w:iCs/>
          <w:color w:val="000000" w:themeColor="text1"/>
        </w:rPr>
        <w:t>Mental Health &amp; Prevention</w:t>
      </w:r>
      <w:r w:rsidRPr="00C86D65">
        <w:rPr>
          <w:rFonts w:hint="cs"/>
          <w:color w:val="000000" w:themeColor="text1"/>
        </w:rPr>
        <w:t xml:space="preserve">, </w:t>
      </w:r>
      <w:r w:rsidRPr="004D4C0F">
        <w:rPr>
          <w:i/>
          <w:iCs/>
          <w:color w:val="000000" w:themeColor="text1"/>
        </w:rPr>
        <w:t>35</w:t>
      </w:r>
      <w:r w:rsidRPr="00C86D65">
        <w:rPr>
          <w:color w:val="000000" w:themeColor="text1"/>
        </w:rPr>
        <w:t xml:space="preserve">, </w:t>
      </w:r>
      <w:r w:rsidR="000F1805">
        <w:rPr>
          <w:color w:val="000000" w:themeColor="text1"/>
        </w:rPr>
        <w:t xml:space="preserve">Article </w:t>
      </w:r>
      <w:r w:rsidRPr="00C86D65">
        <w:rPr>
          <w:color w:val="000000" w:themeColor="text1"/>
          <w:lang w:val="en-GB"/>
        </w:rPr>
        <w:t>200358.</w:t>
      </w:r>
      <w:r w:rsidRPr="00C86D65">
        <w:rPr>
          <w:rFonts w:hint="cs"/>
          <w:color w:val="000000" w:themeColor="text1"/>
          <w:lang w:val="en-US"/>
        </w:rPr>
        <w:t xml:space="preserve"> </w:t>
      </w:r>
      <w:r w:rsidRPr="00C86D65">
        <w:t>https://doi.org/10.1016/j.mhp.2024.200358</w:t>
      </w:r>
    </w:p>
    <w:p w14:paraId="0693F32B" w14:textId="48378B8C" w:rsidR="00E80EB2" w:rsidRPr="00C86D65" w:rsidRDefault="00E80EB2" w:rsidP="00C86D65">
      <w:pPr>
        <w:pStyle w:val="JANZSSAreferences"/>
        <w:rPr>
          <w:color w:val="000000" w:themeColor="text1"/>
          <w:lang w:val="en-IN"/>
        </w:rPr>
      </w:pPr>
      <w:r w:rsidRPr="00C86D65">
        <w:rPr>
          <w:rFonts w:hint="cs"/>
          <w:color w:val="000000" w:themeColor="text1"/>
        </w:rPr>
        <w:t>Bronfenbrenner, U. (1981).</w:t>
      </w:r>
      <w:r w:rsidR="00500399">
        <w:rPr>
          <w:color w:val="000000" w:themeColor="text1"/>
        </w:rPr>
        <w:t xml:space="preserve"> </w:t>
      </w:r>
      <w:r w:rsidR="000F1805">
        <w:rPr>
          <w:i/>
          <w:iCs/>
          <w:color w:val="000000" w:themeColor="text1"/>
        </w:rPr>
        <w:t>The e</w:t>
      </w:r>
      <w:r w:rsidRPr="00C86D65">
        <w:rPr>
          <w:rFonts w:hint="cs"/>
          <w:i/>
          <w:iCs/>
          <w:color w:val="000000" w:themeColor="text1"/>
        </w:rPr>
        <w:t>cology of human development: Experiments by nature and design</w:t>
      </w:r>
      <w:r w:rsidRPr="00C86D65">
        <w:rPr>
          <w:rFonts w:hint="cs"/>
          <w:color w:val="000000" w:themeColor="text1"/>
        </w:rPr>
        <w:t>. Harvard University Press.</w:t>
      </w:r>
    </w:p>
    <w:p w14:paraId="74E45B3C" w14:textId="38C00685" w:rsidR="00E80EB2" w:rsidRPr="00C86D65" w:rsidRDefault="00E80EB2" w:rsidP="00C86D65">
      <w:pPr>
        <w:pStyle w:val="JANZSSAreferences"/>
        <w:rPr>
          <w:color w:val="000000" w:themeColor="text1"/>
          <w:shd w:val="clear" w:color="auto" w:fill="FFFFFF"/>
          <w:lang w:val="en-IN"/>
        </w:rPr>
      </w:pPr>
      <w:r w:rsidRPr="00C86D65">
        <w:rPr>
          <w:rFonts w:hint="cs"/>
          <w:color w:val="000000" w:themeColor="text1"/>
          <w:shd w:val="clear" w:color="auto" w:fill="FFFFFF"/>
        </w:rPr>
        <w:t>CAST</w:t>
      </w:r>
      <w:r w:rsidR="000F1805">
        <w:rPr>
          <w:color w:val="000000" w:themeColor="text1"/>
          <w:shd w:val="clear" w:color="auto" w:fill="FFFFFF"/>
        </w:rPr>
        <w:t>.</w:t>
      </w:r>
      <w:r w:rsidRPr="00C86D65">
        <w:rPr>
          <w:rFonts w:hint="cs"/>
          <w:color w:val="000000" w:themeColor="text1"/>
          <w:shd w:val="clear" w:color="auto" w:fill="FFFFFF"/>
        </w:rPr>
        <w:t xml:space="preserve"> (2024). </w:t>
      </w:r>
      <w:r w:rsidRPr="00C86D65">
        <w:rPr>
          <w:rFonts w:hint="cs"/>
          <w:i/>
          <w:iCs/>
          <w:color w:val="000000" w:themeColor="text1"/>
          <w:shd w:val="clear" w:color="auto" w:fill="FFFFFF"/>
        </w:rPr>
        <w:t>CAST Universal Design for Learning Guidelines version 3.0</w:t>
      </w:r>
      <w:r w:rsidRPr="00C86D65">
        <w:rPr>
          <w:rFonts w:hint="cs"/>
          <w:color w:val="000000" w:themeColor="text1"/>
          <w:shd w:val="clear" w:color="auto" w:fill="FFFFFF"/>
        </w:rPr>
        <w:t xml:space="preserve">. </w:t>
      </w:r>
      <w:r w:rsidRPr="00C86D65">
        <w:rPr>
          <w:rFonts w:hint="cs"/>
          <w:shd w:val="clear" w:color="auto" w:fill="FFFFFF"/>
        </w:rPr>
        <w:t>https://udlguidelines.cast.org</w:t>
      </w:r>
      <w:r w:rsidRPr="00C86D65">
        <w:rPr>
          <w:rFonts w:hint="cs"/>
          <w:color w:val="000000" w:themeColor="text1"/>
          <w:shd w:val="clear" w:color="auto" w:fill="FFFFFF"/>
        </w:rPr>
        <w:t xml:space="preserve"> </w:t>
      </w:r>
    </w:p>
    <w:p w14:paraId="778D09D9" w14:textId="067BE8E5" w:rsidR="00E80EB2" w:rsidRPr="00C86D65" w:rsidRDefault="00E80EB2" w:rsidP="00C86D65">
      <w:pPr>
        <w:pStyle w:val="JANZSSAreferences"/>
      </w:pPr>
      <w:r w:rsidRPr="00C86D65">
        <w:rPr>
          <w:rFonts w:hint="cs"/>
          <w:color w:val="000000" w:themeColor="text1"/>
          <w:shd w:val="clear" w:color="auto" w:fill="FFFFFF"/>
          <w:lang w:val="en-IN"/>
        </w:rPr>
        <w:t xml:space="preserve">Cole, J. Y., Graham, J., Norvell, S., &amp; Schaber, P. (2024). Universal Design for Learning </w:t>
      </w:r>
      <w:r w:rsidR="000F1805">
        <w:rPr>
          <w:color w:val="000000" w:themeColor="text1"/>
          <w:shd w:val="clear" w:color="auto" w:fill="FFFFFF"/>
          <w:lang w:val="en-IN"/>
        </w:rPr>
        <w:t>p</w:t>
      </w:r>
      <w:r w:rsidRPr="00C86D65">
        <w:rPr>
          <w:rFonts w:hint="cs"/>
          <w:color w:val="000000" w:themeColor="text1"/>
          <w:shd w:val="clear" w:color="auto" w:fill="FFFFFF"/>
          <w:lang w:val="en-IN"/>
        </w:rPr>
        <w:t xml:space="preserve">rinciples </w:t>
      </w:r>
      <w:r w:rsidR="000F1805">
        <w:rPr>
          <w:color w:val="000000" w:themeColor="text1"/>
          <w:shd w:val="clear" w:color="auto" w:fill="FFFFFF"/>
          <w:lang w:val="en-IN"/>
        </w:rPr>
        <w:t>i</w:t>
      </w:r>
      <w:r w:rsidRPr="00C86D65">
        <w:rPr>
          <w:rFonts w:hint="cs"/>
          <w:color w:val="000000" w:themeColor="text1"/>
          <w:shd w:val="clear" w:color="auto" w:fill="FFFFFF"/>
          <w:lang w:val="en-IN"/>
        </w:rPr>
        <w:t xml:space="preserve">mpact on </w:t>
      </w:r>
      <w:r w:rsidR="000F1805">
        <w:rPr>
          <w:color w:val="000000" w:themeColor="text1"/>
          <w:shd w:val="clear" w:color="auto" w:fill="FFFFFF"/>
          <w:lang w:val="en-IN"/>
        </w:rPr>
        <w:t>s</w:t>
      </w:r>
      <w:r w:rsidRPr="00C86D65">
        <w:rPr>
          <w:rFonts w:hint="cs"/>
          <w:color w:val="000000" w:themeColor="text1"/>
          <w:shd w:val="clear" w:color="auto" w:fill="FFFFFF"/>
          <w:lang w:val="en-IN"/>
        </w:rPr>
        <w:t xml:space="preserve">tudents </w:t>
      </w:r>
      <w:r w:rsidR="000F1805">
        <w:rPr>
          <w:color w:val="000000" w:themeColor="text1"/>
          <w:shd w:val="clear" w:color="auto" w:fill="FFFFFF"/>
          <w:lang w:val="en-IN"/>
        </w:rPr>
        <w:t>w</w:t>
      </w:r>
      <w:r w:rsidRPr="00C86D65">
        <w:rPr>
          <w:rFonts w:hint="cs"/>
          <w:color w:val="000000" w:themeColor="text1"/>
          <w:shd w:val="clear" w:color="auto" w:fill="FFFFFF"/>
          <w:lang w:val="en-IN"/>
        </w:rPr>
        <w:t xml:space="preserve">ith </w:t>
      </w:r>
      <w:r w:rsidR="000F1805">
        <w:rPr>
          <w:color w:val="000000" w:themeColor="text1"/>
          <w:shd w:val="clear" w:color="auto" w:fill="FFFFFF"/>
          <w:lang w:val="en-IN"/>
        </w:rPr>
        <w:t>n</w:t>
      </w:r>
      <w:r w:rsidRPr="00C86D65">
        <w:rPr>
          <w:rFonts w:hint="cs"/>
          <w:color w:val="000000" w:themeColor="text1"/>
          <w:shd w:val="clear" w:color="auto" w:fill="FFFFFF"/>
          <w:lang w:val="en-IN"/>
        </w:rPr>
        <w:t xml:space="preserve">eurodiverse </w:t>
      </w:r>
      <w:r w:rsidR="000F1805">
        <w:rPr>
          <w:color w:val="000000" w:themeColor="text1"/>
          <w:shd w:val="clear" w:color="auto" w:fill="FFFFFF"/>
          <w:lang w:val="en-IN"/>
        </w:rPr>
        <w:t>l</w:t>
      </w:r>
      <w:r w:rsidRPr="00C86D65">
        <w:rPr>
          <w:rFonts w:hint="cs"/>
          <w:color w:val="000000" w:themeColor="text1"/>
          <w:shd w:val="clear" w:color="auto" w:fill="FFFFFF"/>
          <w:lang w:val="en-IN"/>
        </w:rPr>
        <w:t xml:space="preserve">earning </w:t>
      </w:r>
      <w:r w:rsidR="000F1805">
        <w:rPr>
          <w:color w:val="000000" w:themeColor="text1"/>
          <w:shd w:val="clear" w:color="auto" w:fill="FFFFFF"/>
          <w:lang w:val="en-IN"/>
        </w:rPr>
        <w:t>s</w:t>
      </w:r>
      <w:r w:rsidRPr="00C86D65">
        <w:rPr>
          <w:rFonts w:hint="cs"/>
          <w:color w:val="000000" w:themeColor="text1"/>
          <w:shd w:val="clear" w:color="auto" w:fill="FFFFFF"/>
          <w:lang w:val="en-IN"/>
        </w:rPr>
        <w:t xml:space="preserve">tyles. </w:t>
      </w:r>
      <w:r w:rsidRPr="00C86D65">
        <w:rPr>
          <w:i/>
          <w:iCs/>
          <w:color w:val="000000" w:themeColor="text1"/>
          <w:shd w:val="clear" w:color="auto" w:fill="FFFFFF"/>
          <w:lang w:val="en-GB"/>
        </w:rPr>
        <w:t>Journal of Occupational Therapy Education</w:t>
      </w:r>
      <w:r w:rsidRPr="004D4C0F">
        <w:rPr>
          <w:color w:val="000000" w:themeColor="text1"/>
          <w:shd w:val="clear" w:color="auto" w:fill="FFFFFF"/>
          <w:lang w:val="en-GB"/>
        </w:rPr>
        <w:t>,</w:t>
      </w:r>
      <w:r w:rsidRPr="00C86D65">
        <w:rPr>
          <w:i/>
          <w:iCs/>
          <w:color w:val="000000" w:themeColor="text1"/>
          <w:shd w:val="clear" w:color="auto" w:fill="FFFFFF"/>
          <w:lang w:val="en-GB"/>
        </w:rPr>
        <w:t xml:space="preserve"> 8</w:t>
      </w:r>
      <w:r w:rsidRPr="00C86D65">
        <w:rPr>
          <w:color w:val="000000" w:themeColor="text1"/>
          <w:shd w:val="clear" w:color="auto" w:fill="FFFFFF"/>
          <w:lang w:val="en-GB"/>
        </w:rPr>
        <w:t xml:space="preserve">(2), Article 4. </w:t>
      </w:r>
      <w:r w:rsidR="000F1805" w:rsidRPr="000F1805">
        <w:rPr>
          <w:shd w:val="clear" w:color="auto" w:fill="FFFFFF"/>
          <w:lang w:val="en-GB"/>
        </w:rPr>
        <w:t>https://doi.org/10.26681/jote.2024.080204</w:t>
      </w:r>
    </w:p>
    <w:p w14:paraId="78BFD02D" w14:textId="4A398AF2" w:rsidR="00E80EB2" w:rsidRDefault="00E80EB2" w:rsidP="00C86D65">
      <w:pPr>
        <w:pStyle w:val="JANZSSAreferences"/>
        <w:rPr>
          <w:lang w:val="en-IN"/>
        </w:rPr>
      </w:pPr>
      <w:r w:rsidRPr="00C86D65">
        <w:rPr>
          <w:rFonts w:hint="cs"/>
          <w:color w:val="000000" w:themeColor="text1"/>
          <w:lang w:val="en-IN"/>
        </w:rPr>
        <w:t xml:space="preserve">Dingle, G. A., Han, R., Bentley, S. V., Hides, L., </w:t>
      </w:r>
      <w:proofErr w:type="spellStart"/>
      <w:r w:rsidRPr="00C86D65">
        <w:rPr>
          <w:rFonts w:hint="cs"/>
          <w:color w:val="000000" w:themeColor="text1"/>
          <w:lang w:val="en-IN"/>
        </w:rPr>
        <w:t>Maccallum</w:t>
      </w:r>
      <w:proofErr w:type="spellEnd"/>
      <w:r w:rsidRPr="00C86D65">
        <w:rPr>
          <w:rFonts w:hint="cs"/>
          <w:color w:val="000000" w:themeColor="text1"/>
          <w:lang w:val="en-IN"/>
        </w:rPr>
        <w:t xml:space="preserve">, F., McKimmie, B. M., Walter, Z. C., Williams, E., </w:t>
      </w:r>
      <w:proofErr w:type="spellStart"/>
      <w:r w:rsidRPr="00C86D65">
        <w:rPr>
          <w:rFonts w:hint="cs"/>
          <w:color w:val="000000" w:themeColor="text1"/>
          <w:lang w:val="en-IN"/>
        </w:rPr>
        <w:t>Alhadad</w:t>
      </w:r>
      <w:proofErr w:type="spellEnd"/>
      <w:r w:rsidRPr="00C86D65">
        <w:rPr>
          <w:rFonts w:hint="cs"/>
          <w:color w:val="000000" w:themeColor="text1"/>
          <w:lang w:val="en-IN"/>
        </w:rPr>
        <w:t xml:space="preserve">, S. S. J., Beckman, E., Gomersall, S. R., Wright, O., Rossa, K., &amp; Smith, S. S. (2024). Data from four consecutive cohorts of students in Australia (2019–2022) show the impact of the COVID-19 pandemic on domestic and international university students’ mental health. </w:t>
      </w:r>
      <w:r w:rsidRPr="00C86D65">
        <w:rPr>
          <w:rFonts w:hint="cs"/>
          <w:i/>
          <w:iCs/>
          <w:color w:val="000000" w:themeColor="text1"/>
          <w:lang w:val="en-IN"/>
        </w:rPr>
        <w:t>Australian and New Zealand Journal of Psychiatry</w:t>
      </w:r>
      <w:r w:rsidRPr="00C86D65">
        <w:rPr>
          <w:rFonts w:hint="cs"/>
          <w:color w:val="000000" w:themeColor="text1"/>
          <w:lang w:val="en-IN"/>
        </w:rPr>
        <w:t xml:space="preserve">, </w:t>
      </w:r>
      <w:r w:rsidRPr="00C86D65">
        <w:rPr>
          <w:rFonts w:hint="cs"/>
          <w:i/>
          <w:iCs/>
          <w:color w:val="000000" w:themeColor="text1"/>
          <w:lang w:val="en-IN"/>
        </w:rPr>
        <w:t>58</w:t>
      </w:r>
      <w:r w:rsidRPr="00C86D65">
        <w:rPr>
          <w:rFonts w:hint="cs"/>
          <w:color w:val="000000" w:themeColor="text1"/>
          <w:lang w:val="en-IN"/>
        </w:rPr>
        <w:t xml:space="preserve">(6), 528–536. </w:t>
      </w:r>
      <w:r w:rsidR="005C619F" w:rsidRPr="00287EF6">
        <w:rPr>
          <w:lang w:val="en-IN"/>
        </w:rPr>
        <w:t>https://doi.org/10.1177/00048674241233111</w:t>
      </w:r>
    </w:p>
    <w:p w14:paraId="27DB109B" w14:textId="77777777" w:rsidR="008D28BE" w:rsidRPr="00287EF6" w:rsidRDefault="008D28BE" w:rsidP="008D28BE">
      <w:pPr>
        <w:pStyle w:val="JANZSSAreferences"/>
        <w:rPr>
          <w:color w:val="000000" w:themeColor="text1"/>
        </w:rPr>
      </w:pPr>
      <w:r w:rsidRPr="001A40DA">
        <w:rPr>
          <w:i/>
          <w:iCs/>
          <w:color w:val="000000" w:themeColor="text1"/>
        </w:rPr>
        <w:t>Disability Discrimination Act 1992</w:t>
      </w:r>
      <w:r w:rsidRPr="005C619F">
        <w:rPr>
          <w:color w:val="000000" w:themeColor="text1"/>
        </w:rPr>
        <w:t xml:space="preserve"> (Cth). </w:t>
      </w:r>
      <w:r w:rsidRPr="00287EF6">
        <w:rPr>
          <w:color w:val="000000" w:themeColor="text1"/>
        </w:rPr>
        <w:t>https://www.legislation.gov.au/C2004A04426/2016-07-01/text</w:t>
      </w:r>
    </w:p>
    <w:p w14:paraId="71A24269" w14:textId="0E8E22EE" w:rsidR="00E80EB2" w:rsidRPr="00C86D65" w:rsidRDefault="00E80EB2" w:rsidP="00C86D65">
      <w:pPr>
        <w:pStyle w:val="JANZSSAreferences"/>
        <w:rPr>
          <w:color w:val="222222"/>
          <w:shd w:val="clear" w:color="auto" w:fill="FFFFFF"/>
        </w:rPr>
      </w:pPr>
      <w:r w:rsidRPr="00C86D65">
        <w:rPr>
          <w:rFonts w:hint="cs"/>
          <w:color w:val="222222"/>
          <w:shd w:val="clear" w:color="auto" w:fill="FFFFFF"/>
        </w:rPr>
        <w:t>Flower, R.</w:t>
      </w:r>
      <w:r w:rsidR="001E1DE5">
        <w:rPr>
          <w:color w:val="222222"/>
          <w:shd w:val="clear" w:color="auto" w:fill="FFFFFF"/>
        </w:rPr>
        <w:t xml:space="preserve"> </w:t>
      </w:r>
      <w:r w:rsidRPr="00C86D65">
        <w:rPr>
          <w:rFonts w:hint="cs"/>
          <w:color w:val="222222"/>
          <w:shd w:val="clear" w:color="auto" w:fill="FFFFFF"/>
        </w:rPr>
        <w:t>L., Richdale, A.</w:t>
      </w:r>
      <w:r w:rsidR="001E1DE5">
        <w:rPr>
          <w:color w:val="222222"/>
          <w:shd w:val="clear" w:color="auto" w:fill="FFFFFF"/>
        </w:rPr>
        <w:t xml:space="preserve"> </w:t>
      </w:r>
      <w:r w:rsidRPr="00C86D65">
        <w:rPr>
          <w:rFonts w:hint="cs"/>
          <w:color w:val="222222"/>
          <w:shd w:val="clear" w:color="auto" w:fill="FFFFFF"/>
        </w:rPr>
        <w:t>L.</w:t>
      </w:r>
      <w:r w:rsidR="001E1DE5">
        <w:rPr>
          <w:color w:val="222222"/>
          <w:shd w:val="clear" w:color="auto" w:fill="FFFFFF"/>
        </w:rPr>
        <w:t>,</w:t>
      </w:r>
      <w:r w:rsidRPr="00C86D65">
        <w:rPr>
          <w:rFonts w:hint="cs"/>
          <w:color w:val="222222"/>
          <w:shd w:val="clear" w:color="auto" w:fill="FFFFFF"/>
        </w:rPr>
        <w:t xml:space="preserve"> &amp; Lawson, L.</w:t>
      </w:r>
      <w:r w:rsidR="001E1DE5">
        <w:rPr>
          <w:color w:val="222222"/>
          <w:shd w:val="clear" w:color="auto" w:fill="FFFFFF"/>
        </w:rPr>
        <w:t xml:space="preserve"> </w:t>
      </w:r>
      <w:r w:rsidRPr="00C86D65">
        <w:rPr>
          <w:rFonts w:hint="cs"/>
          <w:color w:val="222222"/>
          <w:shd w:val="clear" w:color="auto" w:fill="FFFFFF"/>
        </w:rPr>
        <w:t>P.</w:t>
      </w:r>
      <w:r w:rsidRPr="00C86D65">
        <w:rPr>
          <w:color w:val="222222"/>
          <w:shd w:val="clear" w:color="auto" w:fill="FFFFFF"/>
        </w:rPr>
        <w:t xml:space="preserve"> (2021).</w:t>
      </w:r>
      <w:r w:rsidRPr="00C86D65">
        <w:rPr>
          <w:rFonts w:hint="cs"/>
          <w:color w:val="222222"/>
          <w:shd w:val="clear" w:color="auto" w:fill="FFFFFF"/>
        </w:rPr>
        <w:t xml:space="preserve"> Brief </w:t>
      </w:r>
      <w:r w:rsidR="001E1DE5">
        <w:rPr>
          <w:color w:val="222222"/>
          <w:shd w:val="clear" w:color="auto" w:fill="FFFFFF"/>
        </w:rPr>
        <w:t>r</w:t>
      </w:r>
      <w:r w:rsidRPr="00C86D65">
        <w:rPr>
          <w:rFonts w:hint="cs"/>
          <w:color w:val="222222"/>
          <w:shd w:val="clear" w:color="auto" w:fill="FFFFFF"/>
        </w:rPr>
        <w:t xml:space="preserve">eport: What </w:t>
      </w:r>
      <w:r w:rsidRPr="00C86D65">
        <w:rPr>
          <w:color w:val="222222"/>
          <w:shd w:val="clear" w:color="auto" w:fill="FFFFFF"/>
        </w:rPr>
        <w:t>h</w:t>
      </w:r>
      <w:r w:rsidRPr="00C86D65">
        <w:rPr>
          <w:rFonts w:hint="cs"/>
          <w:color w:val="222222"/>
          <w:shd w:val="clear" w:color="auto" w:fill="FFFFFF"/>
        </w:rPr>
        <w:t xml:space="preserve">appens </w:t>
      </w:r>
      <w:r w:rsidRPr="00C86D65">
        <w:rPr>
          <w:color w:val="222222"/>
          <w:shd w:val="clear" w:color="auto" w:fill="FFFFFF"/>
        </w:rPr>
        <w:t>a</w:t>
      </w:r>
      <w:r w:rsidRPr="00C86D65">
        <w:rPr>
          <w:rFonts w:hint="cs"/>
          <w:color w:val="222222"/>
          <w:shd w:val="clear" w:color="auto" w:fill="FFFFFF"/>
        </w:rPr>
        <w:t xml:space="preserve">fter </w:t>
      </w:r>
      <w:r w:rsidRPr="00C86D65">
        <w:rPr>
          <w:color w:val="222222"/>
          <w:shd w:val="clear" w:color="auto" w:fill="FFFFFF"/>
        </w:rPr>
        <w:t>s</w:t>
      </w:r>
      <w:r w:rsidRPr="00C86D65">
        <w:rPr>
          <w:rFonts w:hint="cs"/>
          <w:color w:val="222222"/>
          <w:shd w:val="clear" w:color="auto" w:fill="FFFFFF"/>
        </w:rPr>
        <w:t xml:space="preserve">chool? Exploring </w:t>
      </w:r>
      <w:r w:rsidRPr="00C86D65">
        <w:rPr>
          <w:color w:val="222222"/>
          <w:shd w:val="clear" w:color="auto" w:fill="FFFFFF"/>
        </w:rPr>
        <w:t>p</w:t>
      </w:r>
      <w:r w:rsidRPr="00C86D65">
        <w:rPr>
          <w:rFonts w:hint="cs"/>
          <w:color w:val="222222"/>
          <w:shd w:val="clear" w:color="auto" w:fill="FFFFFF"/>
        </w:rPr>
        <w:t xml:space="preserve">ost-school </w:t>
      </w:r>
      <w:r w:rsidRPr="00C86D65">
        <w:rPr>
          <w:color w:val="222222"/>
          <w:shd w:val="clear" w:color="auto" w:fill="FFFFFF"/>
        </w:rPr>
        <w:t>o</w:t>
      </w:r>
      <w:r w:rsidRPr="00C86D65">
        <w:rPr>
          <w:rFonts w:hint="cs"/>
          <w:color w:val="222222"/>
          <w:shd w:val="clear" w:color="auto" w:fill="FFFFFF"/>
        </w:rPr>
        <w:t xml:space="preserve">utcomes for a </w:t>
      </w:r>
      <w:r w:rsidRPr="00C86D65">
        <w:rPr>
          <w:color w:val="222222"/>
          <w:shd w:val="clear" w:color="auto" w:fill="FFFFFF"/>
        </w:rPr>
        <w:t>g</w:t>
      </w:r>
      <w:r w:rsidRPr="00C86D65">
        <w:rPr>
          <w:rFonts w:hint="cs"/>
          <w:color w:val="222222"/>
          <w:shd w:val="clear" w:color="auto" w:fill="FFFFFF"/>
        </w:rPr>
        <w:t xml:space="preserve">roup of </w:t>
      </w:r>
      <w:r w:rsidRPr="00C86D65">
        <w:rPr>
          <w:color w:val="222222"/>
          <w:shd w:val="clear" w:color="auto" w:fill="FFFFFF"/>
        </w:rPr>
        <w:t>a</w:t>
      </w:r>
      <w:r w:rsidRPr="00C86D65">
        <w:rPr>
          <w:rFonts w:hint="cs"/>
          <w:color w:val="222222"/>
          <w:shd w:val="clear" w:color="auto" w:fill="FFFFFF"/>
        </w:rPr>
        <w:t xml:space="preserve">utistic and </w:t>
      </w:r>
      <w:r w:rsidRPr="00C86D65">
        <w:rPr>
          <w:color w:val="222222"/>
          <w:shd w:val="clear" w:color="auto" w:fill="FFFFFF"/>
        </w:rPr>
        <w:t>n</w:t>
      </w:r>
      <w:r w:rsidRPr="00C86D65">
        <w:rPr>
          <w:rFonts w:hint="cs"/>
          <w:color w:val="222222"/>
          <w:shd w:val="clear" w:color="auto" w:fill="FFFFFF"/>
        </w:rPr>
        <w:t xml:space="preserve">on-autistic Australian </w:t>
      </w:r>
      <w:r w:rsidRPr="00C86D65">
        <w:rPr>
          <w:color w:val="222222"/>
          <w:shd w:val="clear" w:color="auto" w:fill="FFFFFF"/>
        </w:rPr>
        <w:t>y</w:t>
      </w:r>
      <w:r w:rsidRPr="00C86D65">
        <w:rPr>
          <w:rFonts w:hint="cs"/>
          <w:color w:val="222222"/>
          <w:shd w:val="clear" w:color="auto" w:fill="FFFFFF"/>
        </w:rPr>
        <w:t>outh.</w:t>
      </w:r>
      <w:r w:rsidR="00500399">
        <w:rPr>
          <w:color w:val="222222"/>
          <w:shd w:val="clear" w:color="auto" w:fill="FFFFFF"/>
        </w:rPr>
        <w:t xml:space="preserve"> </w:t>
      </w:r>
      <w:r w:rsidRPr="00C86D65">
        <w:rPr>
          <w:rFonts w:hint="cs"/>
          <w:i/>
          <w:iCs/>
          <w:color w:val="222222"/>
          <w:shd w:val="clear" w:color="auto" w:fill="FFFFFF"/>
        </w:rPr>
        <w:t>J</w:t>
      </w:r>
      <w:r w:rsidR="001E1DE5">
        <w:rPr>
          <w:i/>
          <w:iCs/>
          <w:color w:val="222222"/>
          <w:shd w:val="clear" w:color="auto" w:fill="FFFFFF"/>
        </w:rPr>
        <w:t>ournal of</w:t>
      </w:r>
      <w:r w:rsidRPr="00C86D65">
        <w:rPr>
          <w:rFonts w:hint="cs"/>
          <w:i/>
          <w:iCs/>
          <w:color w:val="222222"/>
          <w:shd w:val="clear" w:color="auto" w:fill="FFFFFF"/>
        </w:rPr>
        <w:t xml:space="preserve"> Autism </w:t>
      </w:r>
      <w:r w:rsidR="001E1DE5">
        <w:rPr>
          <w:i/>
          <w:iCs/>
          <w:color w:val="222222"/>
          <w:shd w:val="clear" w:color="auto" w:fill="FFFFFF"/>
        </w:rPr>
        <w:t xml:space="preserve">and </w:t>
      </w:r>
      <w:r w:rsidRPr="00C86D65">
        <w:rPr>
          <w:rFonts w:hint="cs"/>
          <w:i/>
          <w:iCs/>
          <w:color w:val="222222"/>
          <w:shd w:val="clear" w:color="auto" w:fill="FFFFFF"/>
        </w:rPr>
        <w:t>Dev</w:t>
      </w:r>
      <w:r w:rsidR="001E1DE5">
        <w:rPr>
          <w:i/>
          <w:iCs/>
          <w:color w:val="222222"/>
          <w:shd w:val="clear" w:color="auto" w:fill="FFFFFF"/>
        </w:rPr>
        <w:t>elopmental</w:t>
      </w:r>
      <w:r w:rsidRPr="00C86D65">
        <w:rPr>
          <w:rFonts w:hint="cs"/>
          <w:i/>
          <w:iCs/>
          <w:color w:val="222222"/>
          <w:shd w:val="clear" w:color="auto" w:fill="FFFFFF"/>
        </w:rPr>
        <w:t xml:space="preserve"> Disord</w:t>
      </w:r>
      <w:r w:rsidR="001E1DE5">
        <w:rPr>
          <w:i/>
          <w:iCs/>
          <w:color w:val="222222"/>
          <w:shd w:val="clear" w:color="auto" w:fill="FFFFFF"/>
        </w:rPr>
        <w:t>ers</w:t>
      </w:r>
      <w:r w:rsidR="001E1DE5">
        <w:rPr>
          <w:color w:val="222222"/>
          <w:shd w:val="clear" w:color="auto" w:fill="FFFFFF"/>
        </w:rPr>
        <w:t>,</w:t>
      </w:r>
      <w:r w:rsidR="00500399">
        <w:rPr>
          <w:color w:val="222222"/>
          <w:shd w:val="clear" w:color="auto" w:fill="FFFFFF"/>
        </w:rPr>
        <w:t xml:space="preserve"> </w:t>
      </w:r>
      <w:r w:rsidRPr="00C86D65">
        <w:rPr>
          <w:rFonts w:hint="cs"/>
          <w:i/>
          <w:iCs/>
          <w:color w:val="222222"/>
          <w:shd w:val="clear" w:color="auto" w:fill="FFFFFF"/>
        </w:rPr>
        <w:t>51</w:t>
      </w:r>
      <w:r w:rsidRPr="00C86D65">
        <w:rPr>
          <w:rFonts w:hint="cs"/>
          <w:color w:val="222222"/>
          <w:shd w:val="clear" w:color="auto" w:fill="FFFFFF"/>
        </w:rPr>
        <w:t>, 1385–1391</w:t>
      </w:r>
      <w:r w:rsidRPr="00C86D65">
        <w:rPr>
          <w:color w:val="222222"/>
          <w:shd w:val="clear" w:color="auto" w:fill="FFFFFF"/>
        </w:rPr>
        <w:t xml:space="preserve">. </w:t>
      </w:r>
      <w:r w:rsidRPr="00C86D65">
        <w:rPr>
          <w:rFonts w:hint="cs"/>
          <w:shd w:val="clear" w:color="auto" w:fill="FFFFFF"/>
        </w:rPr>
        <w:t>https://doi.org/10.1007/s10803-020-04600-6</w:t>
      </w:r>
      <w:r w:rsidRPr="00C86D65">
        <w:rPr>
          <w:rFonts w:hint="cs"/>
          <w:color w:val="222222"/>
          <w:shd w:val="clear" w:color="auto" w:fill="FFFFFF"/>
        </w:rPr>
        <w:t xml:space="preserve"> </w:t>
      </w:r>
    </w:p>
    <w:p w14:paraId="78DA9DEB" w14:textId="26F48C75" w:rsidR="00E80EB2" w:rsidRPr="00C86D65" w:rsidRDefault="00E80EB2" w:rsidP="00C86D65">
      <w:pPr>
        <w:pStyle w:val="JANZSSAreferences"/>
        <w:rPr>
          <w:color w:val="000000" w:themeColor="text1"/>
        </w:rPr>
      </w:pPr>
      <w:r w:rsidRPr="00C86D65">
        <w:rPr>
          <w:rFonts w:hint="cs"/>
          <w:color w:val="000000" w:themeColor="text1"/>
        </w:rPr>
        <w:t xml:space="preserve">Gibbs, K., Simpson, K., Paynter, J., Easte, C., &amp; Fowler, J. (2025). </w:t>
      </w:r>
      <w:r w:rsidRPr="004D4C0F">
        <w:rPr>
          <w:color w:val="000000" w:themeColor="text1"/>
        </w:rPr>
        <w:t>Exploring the perspectives of Australian neurodivergent university students.</w:t>
      </w:r>
      <w:r w:rsidRPr="00C86D65">
        <w:rPr>
          <w:rFonts w:hint="cs"/>
          <w:i/>
          <w:iCs/>
          <w:color w:val="000000" w:themeColor="text1"/>
        </w:rPr>
        <w:t xml:space="preserve"> The Australian Educational Researcher</w:t>
      </w:r>
      <w:r w:rsidRPr="004D4C0F">
        <w:rPr>
          <w:color w:val="000000" w:themeColor="text1"/>
        </w:rPr>
        <w:t>,</w:t>
      </w:r>
      <w:r w:rsidRPr="00C86D65">
        <w:rPr>
          <w:rFonts w:hint="cs"/>
          <w:i/>
          <w:iCs/>
          <w:color w:val="000000" w:themeColor="text1"/>
        </w:rPr>
        <w:t xml:space="preserve"> 52</w:t>
      </w:r>
      <w:r w:rsidRPr="00C86D65">
        <w:rPr>
          <w:rFonts w:hint="cs"/>
          <w:color w:val="000000" w:themeColor="text1"/>
        </w:rPr>
        <w:t xml:space="preserve">, 2665–2687. </w:t>
      </w:r>
      <w:r w:rsidRPr="00C86D65">
        <w:rPr>
          <w:rFonts w:hint="cs"/>
        </w:rPr>
        <w:t>https://doi.org/10.1007/s13384-025-00828-2</w:t>
      </w:r>
      <w:r w:rsidRPr="00C86D65">
        <w:t xml:space="preserve"> </w:t>
      </w:r>
    </w:p>
    <w:p w14:paraId="75E9303C" w14:textId="2F6D2142" w:rsidR="00E80EB2" w:rsidRPr="00C86D65" w:rsidRDefault="00E80EB2" w:rsidP="00C86D65">
      <w:pPr>
        <w:pStyle w:val="JANZSSAreferences"/>
        <w:rPr>
          <w:color w:val="000000" w:themeColor="text1"/>
          <w:shd w:val="clear" w:color="auto" w:fill="FFFFFF"/>
        </w:rPr>
      </w:pPr>
      <w:r w:rsidRPr="00C86D65">
        <w:rPr>
          <w:rFonts w:hint="cs"/>
          <w:color w:val="000000" w:themeColor="text1"/>
          <w:shd w:val="clear" w:color="auto" w:fill="FFFFFF"/>
        </w:rPr>
        <w:t xml:space="preserve">Hillson, H. (2025). LIS </w:t>
      </w:r>
      <w:r w:rsidR="0079658A">
        <w:rPr>
          <w:color w:val="000000" w:themeColor="text1"/>
          <w:shd w:val="clear" w:color="auto" w:fill="FFFFFF"/>
        </w:rPr>
        <w:t>v</w:t>
      </w:r>
      <w:r w:rsidRPr="00C86D65">
        <w:rPr>
          <w:rFonts w:hint="cs"/>
          <w:color w:val="000000" w:themeColor="text1"/>
          <w:shd w:val="clear" w:color="auto" w:fill="FFFFFF"/>
        </w:rPr>
        <w:t xml:space="preserve">ocational </w:t>
      </w:r>
      <w:r w:rsidR="0079658A">
        <w:rPr>
          <w:color w:val="000000" w:themeColor="text1"/>
          <w:shd w:val="clear" w:color="auto" w:fill="FFFFFF"/>
        </w:rPr>
        <w:t>e</w:t>
      </w:r>
      <w:r w:rsidRPr="00C86D65">
        <w:rPr>
          <w:rFonts w:hint="cs"/>
          <w:color w:val="000000" w:themeColor="text1"/>
          <w:shd w:val="clear" w:color="auto" w:fill="FFFFFF"/>
        </w:rPr>
        <w:t xml:space="preserve">ducation at the </w:t>
      </w:r>
      <w:r w:rsidR="0079658A">
        <w:rPr>
          <w:color w:val="000000" w:themeColor="text1"/>
          <w:shd w:val="clear" w:color="auto" w:fill="FFFFFF"/>
        </w:rPr>
        <w:t>m</w:t>
      </w:r>
      <w:r w:rsidRPr="00C86D65">
        <w:rPr>
          <w:rFonts w:hint="cs"/>
          <w:color w:val="000000" w:themeColor="text1"/>
          <w:shd w:val="clear" w:color="auto" w:fill="FFFFFF"/>
        </w:rPr>
        <w:t xml:space="preserve">argins: A </w:t>
      </w:r>
      <w:r w:rsidR="0079658A">
        <w:rPr>
          <w:color w:val="000000" w:themeColor="text1"/>
          <w:shd w:val="clear" w:color="auto" w:fill="FFFFFF"/>
        </w:rPr>
        <w:t>p</w:t>
      </w:r>
      <w:r w:rsidRPr="00C86D65">
        <w:rPr>
          <w:rFonts w:hint="cs"/>
          <w:color w:val="000000" w:themeColor="text1"/>
          <w:shd w:val="clear" w:color="auto" w:fill="FFFFFF"/>
        </w:rPr>
        <w:t xml:space="preserve">ersonal </w:t>
      </w:r>
      <w:r w:rsidR="0079658A">
        <w:rPr>
          <w:color w:val="000000" w:themeColor="text1"/>
          <w:shd w:val="clear" w:color="auto" w:fill="FFFFFF"/>
        </w:rPr>
        <w:t>v</w:t>
      </w:r>
      <w:r w:rsidRPr="00C86D65">
        <w:rPr>
          <w:rFonts w:hint="cs"/>
          <w:color w:val="000000" w:themeColor="text1"/>
          <w:shd w:val="clear" w:color="auto" w:fill="FFFFFF"/>
        </w:rPr>
        <w:t xml:space="preserve">iew of </w:t>
      </w:r>
      <w:r w:rsidR="0079658A">
        <w:rPr>
          <w:color w:val="000000" w:themeColor="text1"/>
          <w:shd w:val="clear" w:color="auto" w:fill="FFFFFF"/>
        </w:rPr>
        <w:t>i</w:t>
      </w:r>
      <w:r w:rsidRPr="00C86D65">
        <w:rPr>
          <w:rFonts w:hint="cs"/>
          <w:color w:val="000000" w:themeColor="text1"/>
          <w:shd w:val="clear" w:color="auto" w:fill="FFFFFF"/>
        </w:rPr>
        <w:t xml:space="preserve">nclusion, </w:t>
      </w:r>
      <w:r w:rsidR="0079658A">
        <w:rPr>
          <w:color w:val="000000" w:themeColor="text1"/>
          <w:shd w:val="clear" w:color="auto" w:fill="FFFFFF"/>
        </w:rPr>
        <w:t>a</w:t>
      </w:r>
      <w:r w:rsidRPr="00C86D65">
        <w:rPr>
          <w:rFonts w:hint="cs"/>
          <w:color w:val="000000" w:themeColor="text1"/>
          <w:shd w:val="clear" w:color="auto" w:fill="FFFFFF"/>
        </w:rPr>
        <w:t xml:space="preserve">ccessibility, and </w:t>
      </w:r>
      <w:r w:rsidR="0079658A">
        <w:rPr>
          <w:color w:val="000000" w:themeColor="text1"/>
          <w:shd w:val="clear" w:color="auto" w:fill="FFFFFF"/>
        </w:rPr>
        <w:t>s</w:t>
      </w:r>
      <w:r w:rsidRPr="00C86D65">
        <w:rPr>
          <w:rFonts w:hint="cs"/>
          <w:color w:val="000000" w:themeColor="text1"/>
          <w:shd w:val="clear" w:color="auto" w:fill="FFFFFF"/>
        </w:rPr>
        <w:t xml:space="preserve">upport for </w:t>
      </w:r>
      <w:r w:rsidR="0079658A">
        <w:rPr>
          <w:color w:val="000000" w:themeColor="text1"/>
          <w:shd w:val="clear" w:color="auto" w:fill="FFFFFF"/>
        </w:rPr>
        <w:t>n</w:t>
      </w:r>
      <w:r w:rsidRPr="00C86D65">
        <w:rPr>
          <w:rFonts w:hint="cs"/>
          <w:color w:val="000000" w:themeColor="text1"/>
          <w:shd w:val="clear" w:color="auto" w:fill="FFFFFF"/>
        </w:rPr>
        <w:t xml:space="preserve">eurodiverse </w:t>
      </w:r>
      <w:r w:rsidR="0079658A">
        <w:rPr>
          <w:color w:val="000000" w:themeColor="text1"/>
          <w:shd w:val="clear" w:color="auto" w:fill="FFFFFF"/>
        </w:rPr>
        <w:t>l</w:t>
      </w:r>
      <w:r w:rsidRPr="00C86D65">
        <w:rPr>
          <w:rFonts w:hint="cs"/>
          <w:color w:val="000000" w:themeColor="text1"/>
          <w:shd w:val="clear" w:color="auto" w:fill="FFFFFF"/>
        </w:rPr>
        <w:t>earners in Australia.</w:t>
      </w:r>
      <w:r w:rsidR="00500399">
        <w:rPr>
          <w:color w:val="000000" w:themeColor="text1"/>
          <w:shd w:val="clear" w:color="auto" w:fill="FFFFFF"/>
        </w:rPr>
        <w:t xml:space="preserve"> </w:t>
      </w:r>
      <w:r w:rsidRPr="00C86D65">
        <w:rPr>
          <w:rFonts w:hint="cs"/>
          <w:i/>
          <w:iCs/>
          <w:color w:val="000000" w:themeColor="text1"/>
          <w:shd w:val="clear" w:color="auto" w:fill="FFFFFF"/>
        </w:rPr>
        <w:t>Journal of the Australian Library and Information Association</w:t>
      </w:r>
      <w:r w:rsidRPr="004D4C0F">
        <w:rPr>
          <w:color w:val="000000" w:themeColor="text1"/>
          <w:shd w:val="clear" w:color="auto" w:fill="FFFFFF"/>
        </w:rPr>
        <w:t>,</w:t>
      </w:r>
      <w:r w:rsidR="00500399">
        <w:rPr>
          <w:i/>
          <w:iCs/>
          <w:color w:val="000000" w:themeColor="text1"/>
          <w:shd w:val="clear" w:color="auto" w:fill="FFFFFF"/>
        </w:rPr>
        <w:t xml:space="preserve"> </w:t>
      </w:r>
      <w:r w:rsidRPr="00C86D65">
        <w:rPr>
          <w:rFonts w:hint="cs"/>
          <w:i/>
          <w:iCs/>
          <w:color w:val="000000" w:themeColor="text1"/>
          <w:shd w:val="clear" w:color="auto" w:fill="FFFFFF"/>
        </w:rPr>
        <w:t>74</w:t>
      </w:r>
      <w:r w:rsidRPr="00C86D65">
        <w:rPr>
          <w:rFonts w:hint="cs"/>
          <w:color w:val="000000" w:themeColor="text1"/>
          <w:shd w:val="clear" w:color="auto" w:fill="FFFFFF"/>
        </w:rPr>
        <w:t xml:space="preserve">(4), 683–688. </w:t>
      </w:r>
      <w:hyperlink r:id="rId8" w:history="1">
        <w:r w:rsidRPr="00C86D65">
          <w:rPr>
            <w:rStyle w:val="Hyperlink"/>
            <w:rFonts w:hint="cs"/>
            <w:color w:val="000000" w:themeColor="text1"/>
            <w:u w:val="none"/>
            <w:shd w:val="clear" w:color="auto" w:fill="FFFFFF"/>
          </w:rPr>
          <w:t>https://doi.org/10.1080/24750158.2025.2542327</w:t>
        </w:r>
      </w:hyperlink>
    </w:p>
    <w:p w14:paraId="0DEC7558" w14:textId="72589DCB" w:rsidR="00E80EB2" w:rsidRPr="00C86D65" w:rsidRDefault="00E80EB2" w:rsidP="00C86D65">
      <w:pPr>
        <w:pStyle w:val="JANZSSAreferences"/>
        <w:rPr>
          <w:color w:val="000000" w:themeColor="text1"/>
        </w:rPr>
      </w:pPr>
      <w:r w:rsidRPr="00C86D65">
        <w:rPr>
          <w:rFonts w:hint="cs"/>
          <w:color w:val="000000" w:themeColor="text1"/>
          <w:lang w:val="en-US"/>
        </w:rPr>
        <w:t>Hitches, E., Woodcock, S., O’Sullivan, K</w:t>
      </w:r>
      <w:r w:rsidRPr="00C86D65">
        <w:rPr>
          <w:color w:val="000000" w:themeColor="text1"/>
          <w:lang w:val="en-US"/>
        </w:rPr>
        <w:t>.</w:t>
      </w:r>
      <w:r w:rsidR="00A51002">
        <w:rPr>
          <w:color w:val="000000" w:themeColor="text1"/>
          <w:lang w:val="en-US"/>
        </w:rPr>
        <w:t>-</w:t>
      </w:r>
      <w:r w:rsidRPr="00C86D65">
        <w:rPr>
          <w:rFonts w:hint="cs"/>
          <w:color w:val="000000" w:themeColor="text1"/>
          <w:lang w:val="en-US"/>
        </w:rPr>
        <w:t>A.</w:t>
      </w:r>
      <w:r w:rsidRPr="00C86D65">
        <w:rPr>
          <w:color w:val="000000" w:themeColor="text1"/>
          <w:lang w:val="en-US"/>
        </w:rPr>
        <w:t>,</w:t>
      </w:r>
      <w:r w:rsidR="00500399">
        <w:rPr>
          <w:color w:val="000000" w:themeColor="text1"/>
          <w:lang w:val="en-US"/>
        </w:rPr>
        <w:t xml:space="preserve"> </w:t>
      </w:r>
      <w:r w:rsidR="00A51002">
        <w:rPr>
          <w:color w:val="000000" w:themeColor="text1"/>
          <w:lang w:val="en-US"/>
        </w:rPr>
        <w:t xml:space="preserve">&amp; </w:t>
      </w:r>
      <w:r w:rsidR="00A51002" w:rsidRPr="00A51002">
        <w:rPr>
          <w:color w:val="000000" w:themeColor="text1"/>
          <w:lang w:val="en-US"/>
        </w:rPr>
        <w:t>Ehrich</w:t>
      </w:r>
      <w:r w:rsidR="00A51002">
        <w:rPr>
          <w:color w:val="000000" w:themeColor="text1"/>
          <w:lang w:val="en-US"/>
        </w:rPr>
        <w:t>, J</w:t>
      </w:r>
      <w:r w:rsidRPr="00C86D65">
        <w:rPr>
          <w:rFonts w:hint="cs"/>
          <w:i/>
          <w:iCs/>
          <w:color w:val="000000" w:themeColor="text1"/>
          <w:lang w:val="en-US"/>
        </w:rPr>
        <w:t>.</w:t>
      </w:r>
      <w:r w:rsidR="00500399">
        <w:rPr>
          <w:color w:val="000000" w:themeColor="text1"/>
          <w:lang w:val="en-US"/>
        </w:rPr>
        <w:t xml:space="preserve"> </w:t>
      </w:r>
      <w:r w:rsidRPr="00C86D65">
        <w:rPr>
          <w:color w:val="000000" w:themeColor="text1"/>
          <w:lang w:val="en-US"/>
        </w:rPr>
        <w:t xml:space="preserve">(2025). </w:t>
      </w:r>
      <w:r w:rsidRPr="00C86D65">
        <w:rPr>
          <w:rFonts w:hint="cs"/>
          <w:color w:val="000000" w:themeColor="text1"/>
          <w:lang w:val="en-US"/>
        </w:rPr>
        <w:t xml:space="preserve">Leveraging students' voices: </w:t>
      </w:r>
      <w:r w:rsidRPr="00C86D65">
        <w:rPr>
          <w:color w:val="000000" w:themeColor="text1"/>
          <w:lang w:val="en-US"/>
        </w:rPr>
        <w:t>U</w:t>
      </w:r>
      <w:r w:rsidRPr="00C86D65">
        <w:rPr>
          <w:rFonts w:hint="cs"/>
          <w:color w:val="000000" w:themeColor="text1"/>
          <w:lang w:val="en-US"/>
        </w:rPr>
        <w:t>nderstanding ways university support services can strengthen student support.</w:t>
      </w:r>
      <w:r w:rsidR="00500399">
        <w:rPr>
          <w:color w:val="000000" w:themeColor="text1"/>
          <w:lang w:val="en-US"/>
        </w:rPr>
        <w:t xml:space="preserve"> </w:t>
      </w:r>
      <w:r w:rsidR="00A51002">
        <w:rPr>
          <w:i/>
          <w:iCs/>
          <w:color w:val="000000" w:themeColor="text1"/>
          <w:lang w:val="en-US"/>
        </w:rPr>
        <w:t xml:space="preserve">The </w:t>
      </w:r>
      <w:r w:rsidRPr="00C86D65">
        <w:rPr>
          <w:rFonts w:hint="cs"/>
          <w:i/>
          <w:iCs/>
          <w:color w:val="000000" w:themeColor="text1"/>
          <w:lang w:val="en-US"/>
        </w:rPr>
        <w:t>Aust</w:t>
      </w:r>
      <w:r w:rsidRPr="00C86D65">
        <w:rPr>
          <w:i/>
          <w:iCs/>
          <w:color w:val="000000" w:themeColor="text1"/>
          <w:lang w:val="en-US"/>
        </w:rPr>
        <w:t>ralian</w:t>
      </w:r>
      <w:r w:rsidRPr="00C86D65">
        <w:rPr>
          <w:rFonts w:hint="cs"/>
          <w:i/>
          <w:iCs/>
          <w:color w:val="000000" w:themeColor="text1"/>
          <w:lang w:val="en-US"/>
        </w:rPr>
        <w:t xml:space="preserve"> Educ</w:t>
      </w:r>
      <w:r w:rsidRPr="00C86D65">
        <w:rPr>
          <w:i/>
          <w:iCs/>
          <w:color w:val="000000" w:themeColor="text1"/>
          <w:lang w:val="en-US"/>
        </w:rPr>
        <w:t>ational</w:t>
      </w:r>
      <w:r w:rsidRPr="00C86D65">
        <w:rPr>
          <w:rFonts w:hint="cs"/>
          <w:i/>
          <w:iCs/>
          <w:color w:val="000000" w:themeColor="text1"/>
          <w:lang w:val="en-US"/>
        </w:rPr>
        <w:t xml:space="preserve"> Res</w:t>
      </w:r>
      <w:r w:rsidRPr="00C86D65">
        <w:rPr>
          <w:i/>
          <w:iCs/>
          <w:color w:val="000000" w:themeColor="text1"/>
          <w:lang w:val="en-US"/>
        </w:rPr>
        <w:t>earcher</w:t>
      </w:r>
      <w:r w:rsidRPr="004D4C0F">
        <w:rPr>
          <w:color w:val="000000" w:themeColor="text1"/>
          <w:lang w:val="en-US"/>
        </w:rPr>
        <w:t>,</w:t>
      </w:r>
      <w:r w:rsidR="00500399">
        <w:rPr>
          <w:color w:val="000000" w:themeColor="text1"/>
          <w:lang w:val="en-US"/>
        </w:rPr>
        <w:t xml:space="preserve"> </w:t>
      </w:r>
      <w:r w:rsidRPr="004D4C0F">
        <w:rPr>
          <w:i/>
          <w:iCs/>
          <w:color w:val="000000" w:themeColor="text1"/>
          <w:lang w:val="en-US"/>
        </w:rPr>
        <w:t>52</w:t>
      </w:r>
      <w:r w:rsidRPr="00C86D65">
        <w:rPr>
          <w:rFonts w:hint="cs"/>
          <w:color w:val="000000" w:themeColor="text1"/>
          <w:lang w:val="en-US"/>
        </w:rPr>
        <w:t>, 583–605.</w:t>
      </w:r>
      <w:r w:rsidR="00500399">
        <w:rPr>
          <w:color w:val="000000" w:themeColor="text1"/>
          <w:lang w:val="en-US"/>
        </w:rPr>
        <w:t xml:space="preserve"> </w:t>
      </w:r>
      <w:r w:rsidRPr="00C86D65">
        <w:rPr>
          <w:rFonts w:hint="cs"/>
          <w:lang w:val="en-US"/>
        </w:rPr>
        <w:t>https://doi.org/10.1007/s13384-024-00731-2</w:t>
      </w:r>
    </w:p>
    <w:p w14:paraId="7E2F5429" w14:textId="4DC33F5F" w:rsidR="00954200" w:rsidRPr="00C86D65" w:rsidRDefault="00954200" w:rsidP="00954200">
      <w:pPr>
        <w:pStyle w:val="JANZSSAreferences"/>
        <w:rPr>
          <w:color w:val="000000" w:themeColor="text1"/>
        </w:rPr>
      </w:pPr>
      <w:r w:rsidRPr="00D32BD3">
        <w:rPr>
          <w:color w:val="000000" w:themeColor="text1"/>
        </w:rPr>
        <w:t>McHale, R., Brennan, N., Boon, B., Richardson,</w:t>
      </w:r>
      <w:r>
        <w:rPr>
          <w:color w:val="000000" w:themeColor="text1"/>
        </w:rPr>
        <w:t xml:space="preserve"> </w:t>
      </w:r>
      <w:r w:rsidRPr="00D32BD3">
        <w:rPr>
          <w:color w:val="000000" w:themeColor="text1"/>
        </w:rPr>
        <w:t>E., Rossetto, A.</w:t>
      </w:r>
      <w:r>
        <w:rPr>
          <w:color w:val="000000" w:themeColor="text1"/>
        </w:rPr>
        <w:t>,</w:t>
      </w:r>
      <w:r w:rsidRPr="00D32BD3">
        <w:rPr>
          <w:color w:val="000000" w:themeColor="text1"/>
        </w:rPr>
        <w:t xml:space="preserve"> &amp; Christie, R. </w:t>
      </w:r>
      <w:r w:rsidRPr="00C86D65">
        <w:rPr>
          <w:rFonts w:hint="cs"/>
          <w:color w:val="000000" w:themeColor="text1"/>
        </w:rPr>
        <w:t xml:space="preserve">(2024). </w:t>
      </w:r>
      <w:r w:rsidRPr="00C86D65">
        <w:rPr>
          <w:rFonts w:hint="cs"/>
          <w:i/>
          <w:iCs/>
          <w:color w:val="000000" w:themeColor="text1"/>
        </w:rPr>
        <w:t xml:space="preserve">Youth Survey </w:t>
      </w:r>
      <w:r>
        <w:rPr>
          <w:i/>
          <w:iCs/>
          <w:color w:val="000000" w:themeColor="text1"/>
        </w:rPr>
        <w:t>r</w:t>
      </w:r>
      <w:r w:rsidRPr="00C86D65">
        <w:rPr>
          <w:rFonts w:hint="cs"/>
          <w:i/>
          <w:iCs/>
          <w:color w:val="000000" w:themeColor="text1"/>
        </w:rPr>
        <w:t>eport 2024</w:t>
      </w:r>
      <w:r w:rsidRPr="00C86D65">
        <w:rPr>
          <w:rFonts w:hint="cs"/>
          <w:color w:val="000000" w:themeColor="text1"/>
        </w:rPr>
        <w:t>.</w:t>
      </w:r>
      <w:r>
        <w:rPr>
          <w:color w:val="000000" w:themeColor="text1"/>
        </w:rPr>
        <w:t xml:space="preserve"> </w:t>
      </w:r>
      <w:r w:rsidRPr="00C86D65">
        <w:rPr>
          <w:rFonts w:hint="cs"/>
          <w:color w:val="000000" w:themeColor="text1"/>
        </w:rPr>
        <w:t>Mission Australia.</w:t>
      </w:r>
      <w:r>
        <w:rPr>
          <w:color w:val="000000" w:themeColor="text1"/>
        </w:rPr>
        <w:t xml:space="preserve"> </w:t>
      </w:r>
      <w:r w:rsidRPr="00D32BD3">
        <w:rPr>
          <w:color w:val="000000" w:themeColor="text1"/>
        </w:rPr>
        <w:t>https://yfsejk.files.cmp.optimizely.com/download/assets/mission-australia-youth-survey-2024/e786fbca974b11f0a6e6be546fd8aec8</w:t>
      </w:r>
    </w:p>
    <w:p w14:paraId="2D387F5D" w14:textId="0D73103D" w:rsidR="00E80EB2" w:rsidRPr="00C86D65" w:rsidRDefault="00E80EB2" w:rsidP="00C86D65">
      <w:pPr>
        <w:pStyle w:val="JANZSSAreferences"/>
        <w:rPr>
          <w:color w:val="000000" w:themeColor="text1"/>
        </w:rPr>
      </w:pPr>
      <w:r w:rsidRPr="00C86D65">
        <w:rPr>
          <w:rFonts w:hint="cs"/>
          <w:color w:val="000000" w:themeColor="text1"/>
        </w:rPr>
        <w:t>National Centre for Vocational Education Research</w:t>
      </w:r>
      <w:r w:rsidR="00F76B71">
        <w:rPr>
          <w:color w:val="000000" w:themeColor="text1"/>
        </w:rPr>
        <w:t xml:space="preserve"> (NCVER)</w:t>
      </w:r>
      <w:r w:rsidRPr="00C86D65">
        <w:rPr>
          <w:rFonts w:hint="cs"/>
          <w:color w:val="000000" w:themeColor="text1"/>
        </w:rPr>
        <w:t xml:space="preserve">. (2025). </w:t>
      </w:r>
      <w:r w:rsidRPr="00C86D65">
        <w:rPr>
          <w:rFonts w:hint="cs"/>
          <w:i/>
          <w:iCs/>
          <w:color w:val="000000" w:themeColor="text1"/>
        </w:rPr>
        <w:t>VET student outcomes 2025</w:t>
      </w:r>
      <w:r w:rsidRPr="00C86D65">
        <w:rPr>
          <w:rFonts w:hint="cs"/>
          <w:color w:val="000000" w:themeColor="text1"/>
        </w:rPr>
        <w:t xml:space="preserve">. </w:t>
      </w:r>
      <w:r w:rsidRPr="00C86D65">
        <w:rPr>
          <w:rFonts w:hint="cs"/>
        </w:rPr>
        <w:t>https://www.ncver.edu.au/research-and-statistics/publications/all-publications/vet-student-outcomes-2025</w:t>
      </w:r>
      <w:r w:rsidRPr="00C86D65">
        <w:rPr>
          <w:rFonts w:hint="cs"/>
          <w:color w:val="000000" w:themeColor="text1"/>
        </w:rPr>
        <w:t xml:space="preserve"> </w:t>
      </w:r>
    </w:p>
    <w:p w14:paraId="319A918B" w14:textId="06645270" w:rsidR="005E0DD0" w:rsidRPr="00C86D65" w:rsidRDefault="005E0DD0" w:rsidP="005E0DD0">
      <w:pPr>
        <w:pStyle w:val="JANZSSAreferences"/>
        <w:rPr>
          <w:color w:val="000000" w:themeColor="text1"/>
        </w:rPr>
      </w:pPr>
      <w:r w:rsidRPr="00C86D65">
        <w:rPr>
          <w:rFonts w:hint="cs"/>
          <w:color w:val="000000" w:themeColor="text1"/>
        </w:rPr>
        <w:t xml:space="preserve">Orygen. (2018). </w:t>
      </w:r>
      <w:r w:rsidRPr="00C86D65">
        <w:rPr>
          <w:rFonts w:hint="cs"/>
          <w:i/>
          <w:iCs/>
          <w:color w:val="000000" w:themeColor="text1"/>
        </w:rPr>
        <w:t xml:space="preserve">Vocational </w:t>
      </w:r>
      <w:r>
        <w:rPr>
          <w:i/>
          <w:iCs/>
          <w:color w:val="000000" w:themeColor="text1"/>
        </w:rPr>
        <w:t>e</w:t>
      </w:r>
      <w:r w:rsidRPr="00C86D65">
        <w:rPr>
          <w:rFonts w:hint="cs"/>
          <w:i/>
          <w:iCs/>
          <w:color w:val="000000" w:themeColor="text1"/>
        </w:rPr>
        <w:t xml:space="preserve">ducation and </w:t>
      </w:r>
      <w:r>
        <w:rPr>
          <w:i/>
          <w:iCs/>
          <w:color w:val="000000" w:themeColor="text1"/>
        </w:rPr>
        <w:t>t</w:t>
      </w:r>
      <w:r w:rsidRPr="00C86D65">
        <w:rPr>
          <w:rFonts w:hint="cs"/>
          <w:i/>
          <w:iCs/>
          <w:color w:val="000000" w:themeColor="text1"/>
        </w:rPr>
        <w:t xml:space="preserve">raining (VET) student mental health: Youth mental health policy briefing. </w:t>
      </w:r>
    </w:p>
    <w:p w14:paraId="6B7ADF0F" w14:textId="6C1E686B" w:rsidR="00E80EB2" w:rsidRPr="00C86D65" w:rsidRDefault="00E80EB2" w:rsidP="00C86D65">
      <w:pPr>
        <w:pStyle w:val="JANZSSAreferences"/>
        <w:rPr>
          <w:color w:val="000000" w:themeColor="text1"/>
        </w:rPr>
      </w:pPr>
      <w:r w:rsidRPr="00C86D65">
        <w:rPr>
          <w:rFonts w:hint="cs"/>
          <w:color w:val="000000" w:themeColor="text1"/>
        </w:rPr>
        <w:lastRenderedPageBreak/>
        <w:t xml:space="preserve">Orygen. (2020). </w:t>
      </w:r>
      <w:r w:rsidRPr="00C86D65">
        <w:rPr>
          <w:rFonts w:hint="cs"/>
          <w:i/>
          <w:iCs/>
          <w:color w:val="000000" w:themeColor="text1"/>
        </w:rPr>
        <w:t>Australian University Mental Health Framework</w:t>
      </w:r>
      <w:r w:rsidR="00482CC9">
        <w:rPr>
          <w:i/>
          <w:iCs/>
          <w:color w:val="000000" w:themeColor="text1"/>
        </w:rPr>
        <w:t>:</w:t>
      </w:r>
      <w:r w:rsidRPr="00C86D65">
        <w:rPr>
          <w:rFonts w:hint="cs"/>
          <w:i/>
          <w:iCs/>
          <w:color w:val="000000" w:themeColor="text1"/>
        </w:rPr>
        <w:t xml:space="preserve"> Summary</w:t>
      </w:r>
      <w:r w:rsidRPr="00C86D65">
        <w:rPr>
          <w:rFonts w:hint="cs"/>
          <w:color w:val="000000" w:themeColor="text1"/>
        </w:rPr>
        <w:t xml:space="preserve">. </w:t>
      </w:r>
      <w:r w:rsidR="00482CC9" w:rsidRPr="00482CC9">
        <w:rPr>
          <w:color w:val="000000" w:themeColor="text1"/>
        </w:rPr>
        <w:t>https://www.orygen.org.au/Policy-Centre/University-Mental-Health-Framework/Framework/University-Mental-Health-Framework-summary</w:t>
      </w:r>
    </w:p>
    <w:p w14:paraId="2DA1985D" w14:textId="1D5B7FE4" w:rsidR="00E80EB2" w:rsidRPr="00C86D65" w:rsidRDefault="00E80EB2" w:rsidP="00C86D65">
      <w:pPr>
        <w:pStyle w:val="JANZSSAreferences"/>
        <w:rPr>
          <w:color w:val="000000" w:themeColor="text1"/>
        </w:rPr>
      </w:pPr>
      <w:proofErr w:type="spellStart"/>
      <w:r w:rsidRPr="00C86D65">
        <w:rPr>
          <w:color w:val="000000" w:themeColor="text1"/>
          <w:lang w:val="en-GB"/>
        </w:rPr>
        <w:t>Pigato</w:t>
      </w:r>
      <w:proofErr w:type="spellEnd"/>
      <w:r w:rsidRPr="00C86D65">
        <w:rPr>
          <w:color w:val="000000" w:themeColor="text1"/>
          <w:lang w:val="en-GB"/>
        </w:rPr>
        <w:t xml:space="preserve">, G. (2024). Contributing to an inclusive education for neurodivergent students: Sharing reflections, practices, and experiences. </w:t>
      </w:r>
      <w:r w:rsidRPr="00C86D65">
        <w:rPr>
          <w:i/>
          <w:iCs/>
          <w:color w:val="000000" w:themeColor="text1"/>
          <w:lang w:val="en-GB"/>
        </w:rPr>
        <w:t>FEMS Microbiology Letters</w:t>
      </w:r>
      <w:r w:rsidRPr="004D4C0F">
        <w:rPr>
          <w:color w:val="000000" w:themeColor="text1"/>
          <w:lang w:val="en-GB"/>
        </w:rPr>
        <w:t>,</w:t>
      </w:r>
      <w:r w:rsidRPr="00C86D65">
        <w:rPr>
          <w:i/>
          <w:iCs/>
          <w:color w:val="000000" w:themeColor="text1"/>
          <w:lang w:val="en-GB"/>
        </w:rPr>
        <w:t xml:space="preserve"> 371</w:t>
      </w:r>
      <w:r w:rsidRPr="00C86D65">
        <w:rPr>
          <w:color w:val="000000" w:themeColor="text1"/>
          <w:lang w:val="en-GB"/>
        </w:rPr>
        <w:t xml:space="preserve">, </w:t>
      </w:r>
      <w:r w:rsidR="005E0DD0">
        <w:rPr>
          <w:color w:val="000000" w:themeColor="text1"/>
          <w:lang w:val="en-GB"/>
        </w:rPr>
        <w:t xml:space="preserve">Article </w:t>
      </w:r>
      <w:r w:rsidRPr="00C86D65">
        <w:rPr>
          <w:color w:val="000000" w:themeColor="text1"/>
          <w:lang w:val="en-GB"/>
        </w:rPr>
        <w:t xml:space="preserve">fnae046. </w:t>
      </w:r>
      <w:r w:rsidRPr="00C86D65">
        <w:rPr>
          <w:lang w:val="en-GB"/>
        </w:rPr>
        <w:t>https://doi.org/10.1093/femsle/fnae046</w:t>
      </w:r>
      <w:r w:rsidRPr="00C86D65">
        <w:rPr>
          <w:color w:val="000000" w:themeColor="text1"/>
          <w:lang w:val="en-GB"/>
        </w:rPr>
        <w:t xml:space="preserve"> </w:t>
      </w:r>
    </w:p>
    <w:p w14:paraId="2B5F05E6" w14:textId="7838EC69" w:rsidR="00E80EB2" w:rsidRPr="00C86D65" w:rsidRDefault="00E80EB2" w:rsidP="00C86D65">
      <w:pPr>
        <w:pStyle w:val="JANZSSAreferences"/>
        <w:rPr>
          <w:color w:val="000000" w:themeColor="text1"/>
        </w:rPr>
      </w:pPr>
      <w:r w:rsidRPr="00C86D65">
        <w:rPr>
          <w:rFonts w:hint="cs"/>
          <w:color w:val="000000" w:themeColor="text1"/>
        </w:rPr>
        <w:t xml:space="preserve">Rice, K., Rock, A. J., Murrell, E., &amp; Tyson, G. A. (2021). The prevalence of psychological distress in an Australian TAFE sample and the relationships between psychological distress, emotion‑focused coping and academic success. </w:t>
      </w:r>
      <w:r w:rsidRPr="00C86D65">
        <w:rPr>
          <w:rFonts w:hint="cs"/>
          <w:i/>
          <w:iCs/>
          <w:color w:val="000000" w:themeColor="text1"/>
        </w:rPr>
        <w:t>Australian Journal of Psychology</w:t>
      </w:r>
      <w:r w:rsidRPr="004D4C0F">
        <w:rPr>
          <w:color w:val="000000" w:themeColor="text1"/>
        </w:rPr>
        <w:t>,</w:t>
      </w:r>
      <w:r w:rsidRPr="00C86D65">
        <w:rPr>
          <w:rFonts w:hint="cs"/>
          <w:i/>
          <w:iCs/>
          <w:color w:val="000000" w:themeColor="text1"/>
        </w:rPr>
        <w:t xml:space="preserve"> 73</w:t>
      </w:r>
      <w:r w:rsidRPr="00C86D65">
        <w:rPr>
          <w:rFonts w:hint="cs"/>
          <w:color w:val="000000" w:themeColor="text1"/>
        </w:rPr>
        <w:t xml:space="preserve">(2), 231–242. </w:t>
      </w:r>
      <w:r w:rsidRPr="00C86D65">
        <w:rPr>
          <w:rFonts w:hint="cs"/>
        </w:rPr>
        <w:t>https://doi.org/10.1080/00049530.2021.1883408</w:t>
      </w:r>
      <w:r w:rsidRPr="00C86D65">
        <w:rPr>
          <w:rFonts w:hint="cs"/>
          <w:color w:val="000000" w:themeColor="text1"/>
        </w:rPr>
        <w:t xml:space="preserve"> </w:t>
      </w:r>
    </w:p>
    <w:p w14:paraId="7772016C" w14:textId="1F1C2AC3" w:rsidR="00E80EB2" w:rsidRPr="004D4C0F" w:rsidRDefault="00E80EB2" w:rsidP="00500399">
      <w:pPr>
        <w:pStyle w:val="JANZSSAreferences"/>
        <w:rPr>
          <w:i/>
          <w:iCs/>
        </w:rPr>
      </w:pPr>
      <w:r w:rsidRPr="00C86D65">
        <w:rPr>
          <w:rFonts w:hint="cs"/>
        </w:rPr>
        <w:t>Rickwood, D.,</w:t>
      </w:r>
      <w:r w:rsidR="00500399">
        <w:t xml:space="preserve"> </w:t>
      </w:r>
      <w:r w:rsidRPr="00C86D65">
        <w:rPr>
          <w:rFonts w:hint="cs"/>
        </w:rPr>
        <w:t>Telford, N., O’Sullivan, S., Crisp, D., &amp; Magyar, R. (2016).</w:t>
      </w:r>
      <w:r w:rsidR="00500399">
        <w:t xml:space="preserve"> </w:t>
      </w:r>
      <w:r w:rsidRPr="00C86D65">
        <w:rPr>
          <w:rFonts w:hint="cs"/>
          <w:i/>
          <w:iCs/>
        </w:rPr>
        <w:t xml:space="preserve">National </w:t>
      </w:r>
      <w:r w:rsidR="00500399" w:rsidRPr="00500399">
        <w:rPr>
          <w:i/>
          <w:iCs/>
        </w:rPr>
        <w:t>Tertiary Student</w:t>
      </w:r>
      <w:r w:rsidR="00500399">
        <w:rPr>
          <w:i/>
          <w:iCs/>
        </w:rPr>
        <w:t xml:space="preserve"> </w:t>
      </w:r>
      <w:r w:rsidR="00500399" w:rsidRPr="00500399">
        <w:rPr>
          <w:i/>
          <w:iCs/>
        </w:rPr>
        <w:t>Wellbeing</w:t>
      </w:r>
      <w:r w:rsidRPr="00C86D65">
        <w:rPr>
          <w:rFonts w:hint="cs"/>
          <w:i/>
          <w:iCs/>
        </w:rPr>
        <w:t xml:space="preserve"> </w:t>
      </w:r>
      <w:r w:rsidR="00500399">
        <w:rPr>
          <w:i/>
          <w:iCs/>
        </w:rPr>
        <w:t>S</w:t>
      </w:r>
      <w:r w:rsidRPr="00C86D65">
        <w:rPr>
          <w:rFonts w:hint="cs"/>
          <w:i/>
          <w:iCs/>
        </w:rPr>
        <w:t>urvey 2016</w:t>
      </w:r>
      <w:r w:rsidRPr="00C86D65">
        <w:rPr>
          <w:rFonts w:hint="cs"/>
        </w:rPr>
        <w:t>.</w:t>
      </w:r>
      <w:r w:rsidR="00500399">
        <w:t xml:space="preserve"> h</w:t>
      </w:r>
      <w:r w:rsidRPr="00C86D65">
        <w:rPr>
          <w:rFonts w:hint="cs"/>
        </w:rPr>
        <w:t>eadspace National Youth Mental Health</w:t>
      </w:r>
      <w:r w:rsidR="00500399">
        <w:rPr>
          <w:color w:val="000000" w:themeColor="text1"/>
        </w:rPr>
        <w:t xml:space="preserve"> </w:t>
      </w:r>
      <w:r w:rsidRPr="00C86D65">
        <w:rPr>
          <w:rFonts w:hint="cs"/>
          <w:color w:val="000000" w:themeColor="text1"/>
        </w:rPr>
        <w:t>Foundation. </w:t>
      </w:r>
      <w:r w:rsidRPr="00C86D65">
        <w:rPr>
          <w:rFonts w:hint="cs"/>
        </w:rPr>
        <w:t>https://headspace.org.au/assets/Uploads/headspace-NUS-Publication-Digital.pdf</w:t>
      </w:r>
      <w:r w:rsidRPr="00C86D65">
        <w:rPr>
          <w:rFonts w:hint="cs"/>
          <w:color w:val="000000" w:themeColor="text1"/>
        </w:rPr>
        <w:t xml:space="preserve"> </w:t>
      </w:r>
      <w:r w:rsidRPr="00C86D65">
        <w:rPr>
          <w:color w:val="000000" w:themeColor="text1"/>
        </w:rPr>
        <w:t xml:space="preserve"> </w:t>
      </w:r>
    </w:p>
    <w:p w14:paraId="6BAD8744" w14:textId="4F139EB1" w:rsidR="00E80EB2" w:rsidRPr="00C86D65" w:rsidRDefault="00E80EB2" w:rsidP="00C86D65">
      <w:pPr>
        <w:pStyle w:val="JANZSSAreferences"/>
      </w:pPr>
      <w:r w:rsidRPr="00C86D65">
        <w:rPr>
          <w:rFonts w:eastAsia="Times New Roman" w:hint="cs"/>
          <w:color w:val="000000" w:themeColor="text1"/>
          <w:lang w:val="en-IN" w:eastAsia="en-GB"/>
        </w:rPr>
        <w:t xml:space="preserve">Safer-Lichtenstein, J., Kenworthy, L., </w:t>
      </w:r>
      <w:proofErr w:type="spellStart"/>
      <w:r w:rsidRPr="00C86D65">
        <w:rPr>
          <w:rFonts w:eastAsia="Times New Roman" w:hint="cs"/>
          <w:color w:val="000000" w:themeColor="text1"/>
          <w:lang w:val="en-IN" w:eastAsia="en-GB"/>
        </w:rPr>
        <w:t>Verbalis</w:t>
      </w:r>
      <w:proofErr w:type="spellEnd"/>
      <w:r w:rsidRPr="00C86D65">
        <w:rPr>
          <w:rFonts w:eastAsia="Times New Roman" w:hint="cs"/>
          <w:color w:val="000000" w:themeColor="text1"/>
          <w:lang w:val="en-IN" w:eastAsia="en-GB"/>
        </w:rPr>
        <w:t>, A., Ba, C., Mikulich-Gilbertson, S., Anthony, B. J., &amp; Anthony, L. G.</w:t>
      </w:r>
      <w:r w:rsidR="00500399">
        <w:rPr>
          <w:rFonts w:eastAsia="Times New Roman"/>
          <w:color w:val="000000" w:themeColor="text1"/>
          <w:lang w:val="en-IN" w:eastAsia="en-GB"/>
        </w:rPr>
        <w:t xml:space="preserve"> </w:t>
      </w:r>
      <w:r w:rsidRPr="00C86D65">
        <w:rPr>
          <w:rFonts w:eastAsia="Times New Roman" w:hint="cs"/>
          <w:color w:val="000000" w:themeColor="text1"/>
          <w:lang w:val="en-IN" w:eastAsia="en-GB"/>
        </w:rPr>
        <w:t>(2024).</w:t>
      </w:r>
      <w:r w:rsidR="00500399">
        <w:rPr>
          <w:rFonts w:eastAsia="Times New Roman"/>
          <w:color w:val="000000" w:themeColor="text1"/>
          <w:lang w:val="en-IN" w:eastAsia="en-GB"/>
        </w:rPr>
        <w:t xml:space="preserve"> </w:t>
      </w:r>
      <w:r w:rsidRPr="00C86D65">
        <w:rPr>
          <w:rFonts w:eastAsia="Times New Roman" w:hint="cs"/>
          <w:color w:val="000000" w:themeColor="text1"/>
          <w:lang w:val="en-IN" w:eastAsia="en-GB"/>
        </w:rPr>
        <w:t>Observing executive functioning of neurodivergent students and supporting practices of their teachers in the classroom.</w:t>
      </w:r>
      <w:r w:rsidR="00500399">
        <w:rPr>
          <w:rFonts w:eastAsia="Times New Roman"/>
          <w:color w:val="000000" w:themeColor="text1"/>
          <w:lang w:val="en-IN" w:eastAsia="en-GB"/>
        </w:rPr>
        <w:t xml:space="preserve"> </w:t>
      </w:r>
      <w:r w:rsidRPr="00C86D65">
        <w:rPr>
          <w:rFonts w:eastAsia="Times New Roman" w:hint="cs"/>
          <w:i/>
          <w:iCs/>
          <w:color w:val="000000" w:themeColor="text1"/>
          <w:lang w:val="en-IN" w:eastAsia="en-GB"/>
        </w:rPr>
        <w:t>Neurodiversity</w:t>
      </w:r>
      <w:r w:rsidRPr="00C86D65">
        <w:rPr>
          <w:rFonts w:eastAsia="Times New Roman" w:hint="cs"/>
          <w:color w:val="000000" w:themeColor="text1"/>
          <w:lang w:val="en-IN" w:eastAsia="en-GB"/>
        </w:rPr>
        <w:t xml:space="preserve">, </w:t>
      </w:r>
      <w:r w:rsidRPr="00C86D65">
        <w:rPr>
          <w:rFonts w:eastAsia="Times New Roman" w:hint="cs"/>
          <w:i/>
          <w:iCs/>
          <w:color w:val="000000" w:themeColor="text1"/>
          <w:lang w:val="en-IN" w:eastAsia="en-GB"/>
        </w:rPr>
        <w:t>2</w:t>
      </w:r>
      <w:r w:rsidRPr="004D4C0F">
        <w:rPr>
          <w:rFonts w:eastAsia="Times New Roman"/>
          <w:color w:val="000000" w:themeColor="text1"/>
          <w:lang w:val="en-IN" w:eastAsia="en-GB"/>
        </w:rPr>
        <w:t>,</w:t>
      </w:r>
      <w:r w:rsidRPr="00C86D65">
        <w:rPr>
          <w:rFonts w:eastAsia="Times New Roman" w:hint="cs"/>
          <w:color w:val="000000" w:themeColor="text1"/>
          <w:lang w:val="en-IN" w:eastAsia="en-GB"/>
        </w:rPr>
        <w:t xml:space="preserve"> 1</w:t>
      </w:r>
      <w:r w:rsidR="00500399">
        <w:rPr>
          <w:rFonts w:eastAsia="Times New Roman" w:hint="eastAsia"/>
          <w:color w:val="000000" w:themeColor="text1"/>
          <w:lang w:val="en-IN" w:eastAsia="en-GB"/>
        </w:rPr>
        <w:t>–</w:t>
      </w:r>
      <w:r w:rsidRPr="00C86D65">
        <w:rPr>
          <w:rFonts w:eastAsia="Times New Roman" w:hint="cs"/>
          <w:color w:val="000000" w:themeColor="text1"/>
          <w:lang w:val="en-IN" w:eastAsia="en-GB"/>
        </w:rPr>
        <w:t xml:space="preserve">14. </w:t>
      </w:r>
      <w:r w:rsidR="00500399" w:rsidRPr="00500399">
        <w:rPr>
          <w:rFonts w:eastAsia="Times New Roman"/>
          <w:color w:val="000000" w:themeColor="text1"/>
          <w:lang w:val="en-IN" w:eastAsia="en-GB"/>
        </w:rPr>
        <w:t>https://doi.org/10.1177/27546330241258817</w:t>
      </w:r>
      <w:r w:rsidR="00500399" w:rsidRPr="00500399" w:rsidDel="00500399">
        <w:rPr>
          <w:rFonts w:eastAsia="Times New Roman"/>
          <w:color w:val="000000" w:themeColor="text1"/>
          <w:lang w:val="en-IN" w:eastAsia="en-GB"/>
        </w:rPr>
        <w:t xml:space="preserve"> </w:t>
      </w:r>
    </w:p>
    <w:p w14:paraId="7B2B1F6E" w14:textId="664F491D" w:rsidR="00E80EB2" w:rsidRPr="00C86D65" w:rsidRDefault="00E80EB2" w:rsidP="00C86D65">
      <w:pPr>
        <w:pStyle w:val="JANZSSAreferences"/>
        <w:rPr>
          <w:color w:val="000000" w:themeColor="text1"/>
          <w:lang w:val="en-IN"/>
        </w:rPr>
      </w:pPr>
      <w:bookmarkStart w:id="1" w:name="_Hlk220934992"/>
      <w:r w:rsidRPr="00C86D65">
        <w:rPr>
          <w:rFonts w:hint="cs"/>
          <w:color w:val="000000" w:themeColor="text1"/>
          <w:lang w:val="en-IN"/>
        </w:rPr>
        <w:t xml:space="preserve">Solberg, S., Laundal, Ø., &amp; Garrels, V. (2023). Scoping Review of Positive Mental Health Research for Students in Vocational Education and Training. </w:t>
      </w:r>
      <w:r w:rsidRPr="00C86D65">
        <w:rPr>
          <w:rFonts w:hint="cs"/>
          <w:i/>
          <w:iCs/>
          <w:color w:val="000000" w:themeColor="text1"/>
          <w:lang w:val="en-IN"/>
        </w:rPr>
        <w:t>International Journal for Research in Vocational Education and Training</w:t>
      </w:r>
      <w:r w:rsidRPr="00C86D65">
        <w:rPr>
          <w:color w:val="000000" w:themeColor="text1"/>
          <w:lang w:val="en-IN"/>
        </w:rPr>
        <w:t xml:space="preserve">, </w:t>
      </w:r>
      <w:r w:rsidRPr="00C86D65">
        <w:rPr>
          <w:i/>
          <w:iCs/>
          <w:color w:val="000000" w:themeColor="text1"/>
          <w:lang w:val="en-IN"/>
        </w:rPr>
        <w:t>10</w:t>
      </w:r>
      <w:r w:rsidRPr="004D4C0F">
        <w:rPr>
          <w:color w:val="000000" w:themeColor="text1"/>
          <w:lang w:val="en-IN"/>
        </w:rPr>
        <w:t>(2),</w:t>
      </w:r>
      <w:r w:rsidRPr="00C86D65">
        <w:rPr>
          <w:i/>
          <w:iCs/>
          <w:color w:val="000000" w:themeColor="text1"/>
          <w:lang w:val="en-IN"/>
        </w:rPr>
        <w:t xml:space="preserve"> </w:t>
      </w:r>
      <w:r w:rsidRPr="00C86D65">
        <w:rPr>
          <w:color w:val="000000" w:themeColor="text1"/>
          <w:lang w:val="en-IN"/>
        </w:rPr>
        <w:t>267</w:t>
      </w:r>
      <w:r w:rsidR="00CE4B91">
        <w:rPr>
          <w:color w:val="000000" w:themeColor="text1"/>
          <w:lang w:val="en-IN"/>
        </w:rPr>
        <w:t>–</w:t>
      </w:r>
      <w:r w:rsidRPr="00C86D65">
        <w:rPr>
          <w:color w:val="000000" w:themeColor="text1"/>
          <w:lang w:val="en-IN"/>
        </w:rPr>
        <w:t>291</w:t>
      </w:r>
      <w:r w:rsidR="00CD076D">
        <w:rPr>
          <w:color w:val="000000" w:themeColor="text1"/>
          <w:lang w:val="en-IN"/>
        </w:rPr>
        <w:t>.</w:t>
      </w:r>
      <w:r w:rsidRPr="00C86D65">
        <w:rPr>
          <w:rFonts w:hint="cs"/>
          <w:i/>
          <w:iCs/>
          <w:color w:val="000000" w:themeColor="text1"/>
          <w:lang w:val="en-IN"/>
        </w:rPr>
        <w:t xml:space="preserve"> </w:t>
      </w:r>
      <w:r w:rsidRPr="00C86D65">
        <w:rPr>
          <w:rFonts w:hint="cs"/>
          <w:lang w:val="en-IN"/>
        </w:rPr>
        <w:t>https://doi.org/10.13152/IJRVET.10.2.6</w:t>
      </w:r>
    </w:p>
    <w:bookmarkEnd w:id="1"/>
    <w:p w14:paraId="7F968F85" w14:textId="5F2D9AAB" w:rsidR="00E80EB2" w:rsidRPr="00C86D65" w:rsidRDefault="00E80EB2" w:rsidP="00C86D65">
      <w:pPr>
        <w:pStyle w:val="JANZSSAreferences"/>
        <w:rPr>
          <w:color w:val="000000" w:themeColor="text1"/>
        </w:rPr>
      </w:pPr>
      <w:r w:rsidRPr="00C86D65">
        <w:rPr>
          <w:rFonts w:hint="cs"/>
          <w:color w:val="000000" w:themeColor="text1"/>
        </w:rPr>
        <w:t xml:space="preserve">Wibrow, B., Hall, M., &amp; Griffin, T. (2024). </w:t>
      </w:r>
      <w:r w:rsidRPr="00C86D65">
        <w:rPr>
          <w:rFonts w:hint="cs"/>
          <w:i/>
          <w:iCs/>
          <w:color w:val="000000" w:themeColor="text1"/>
        </w:rPr>
        <w:t>The student journey: The many faces of completion and non‑completion in VET.</w:t>
      </w:r>
      <w:r w:rsidRPr="00C86D65">
        <w:rPr>
          <w:rFonts w:hint="cs"/>
          <w:color w:val="000000" w:themeColor="text1"/>
        </w:rPr>
        <w:t xml:space="preserve"> </w:t>
      </w:r>
      <w:r w:rsidR="00CE4B91" w:rsidRPr="00CE4B91">
        <w:rPr>
          <w:color w:val="000000" w:themeColor="text1"/>
        </w:rPr>
        <w:t>National Centre for Vocational Education Research</w:t>
      </w:r>
      <w:r w:rsidRPr="00C86D65">
        <w:rPr>
          <w:rFonts w:hint="cs"/>
          <w:color w:val="000000" w:themeColor="text1"/>
        </w:rPr>
        <w:t>.</w:t>
      </w:r>
      <w:r w:rsidR="00CE4B91">
        <w:rPr>
          <w:color w:val="000000" w:themeColor="text1"/>
        </w:rPr>
        <w:t xml:space="preserve"> </w:t>
      </w:r>
      <w:r w:rsidR="00CE4B91" w:rsidRPr="00CE4B91">
        <w:rPr>
          <w:color w:val="000000" w:themeColor="text1"/>
        </w:rPr>
        <w:t>https://www.ncver.edu.au/research-and-statistics/publications/all-publications/the-student-journey-the-many-faces-of-completion-and-non-completion-in-vet</w:t>
      </w:r>
    </w:p>
    <w:p w14:paraId="4E0CE3D7" w14:textId="423FB93A" w:rsidR="00E80EB2" w:rsidRPr="00C86D65" w:rsidRDefault="00E80EB2" w:rsidP="00C86D65">
      <w:pPr>
        <w:pStyle w:val="JANZSSAreferences"/>
        <w:rPr>
          <w:color w:val="000000" w:themeColor="text1"/>
          <w:lang w:val="en-IN"/>
        </w:rPr>
      </w:pPr>
      <w:r w:rsidRPr="00C86D65">
        <w:rPr>
          <w:rFonts w:hint="cs"/>
          <w:color w:val="000000" w:themeColor="text1"/>
          <w:lang w:val="en-IN"/>
        </w:rPr>
        <w:t xml:space="preserve">Wilson, S., Hastings, C., Morris, A., Ramia, G., &amp; Mitchell, E. (2023). International students on the edge: The precarious impacts of financial stress. </w:t>
      </w:r>
      <w:r w:rsidRPr="00C86D65">
        <w:rPr>
          <w:rFonts w:hint="cs"/>
          <w:i/>
          <w:iCs/>
          <w:color w:val="000000" w:themeColor="text1"/>
          <w:lang w:val="en-IN"/>
        </w:rPr>
        <w:t>Journal of Sociology</w:t>
      </w:r>
      <w:r w:rsidRPr="00C86D65">
        <w:rPr>
          <w:rFonts w:hint="cs"/>
          <w:color w:val="000000" w:themeColor="text1"/>
          <w:lang w:val="en-IN"/>
        </w:rPr>
        <w:t xml:space="preserve">, </w:t>
      </w:r>
      <w:r w:rsidRPr="00C86D65">
        <w:rPr>
          <w:rFonts w:hint="cs"/>
          <w:i/>
          <w:iCs/>
          <w:color w:val="000000" w:themeColor="text1"/>
          <w:lang w:val="en-IN"/>
        </w:rPr>
        <w:t>59</w:t>
      </w:r>
      <w:r w:rsidRPr="00C86D65">
        <w:rPr>
          <w:rFonts w:hint="cs"/>
          <w:color w:val="000000" w:themeColor="text1"/>
          <w:lang w:val="en-IN"/>
        </w:rPr>
        <w:t xml:space="preserve">(4), 952–974. </w:t>
      </w:r>
      <w:r w:rsidRPr="00C86D65">
        <w:rPr>
          <w:rFonts w:hint="cs"/>
          <w:lang w:val="en-IN"/>
        </w:rPr>
        <w:t>https://doi.org/10.1177/14407833221084756</w:t>
      </w:r>
      <w:r w:rsidRPr="00C86D65">
        <w:rPr>
          <w:rFonts w:hint="cs"/>
          <w:color w:val="000000" w:themeColor="text1"/>
          <w:lang w:val="en-IN"/>
        </w:rPr>
        <w:t xml:space="preserve"> </w:t>
      </w:r>
    </w:p>
    <w:p w14:paraId="27357349" w14:textId="77777777" w:rsidR="00BB7D85" w:rsidRPr="00176032" w:rsidRDefault="00BB7D85" w:rsidP="00176032">
      <w:pPr>
        <w:pStyle w:val="JANZSSABodyCopy10pt"/>
      </w:pPr>
    </w:p>
    <w:p w14:paraId="66678581" w14:textId="01B9FE0E" w:rsidR="000411ED" w:rsidRPr="00BB7D85" w:rsidRDefault="000411ED" w:rsidP="00BB7D85">
      <w:pPr>
        <w:pStyle w:val="JANZSSABodyCopy10pt"/>
        <w:rPr>
          <w:b/>
          <w:bCs/>
        </w:rPr>
      </w:pPr>
      <w:r w:rsidRPr="00BB7D85">
        <w:rPr>
          <w:b/>
          <w:bCs/>
        </w:rPr>
        <w:t>The</w:t>
      </w:r>
      <w:r w:rsidR="002B0419" w:rsidRPr="00BB7D85">
        <w:rPr>
          <w:b/>
          <w:bCs/>
        </w:rPr>
        <w:t xml:space="preserve"> </w:t>
      </w:r>
      <w:r w:rsidRPr="00BB7D85">
        <w:rPr>
          <w:b/>
          <w:bCs/>
        </w:rPr>
        <w:t>author</w:t>
      </w:r>
      <w:r w:rsidR="002B0419" w:rsidRPr="00BB7D85">
        <w:rPr>
          <w:b/>
          <w:bCs/>
        </w:rPr>
        <w:t xml:space="preserve"> </w:t>
      </w:r>
      <w:r w:rsidRPr="00BB7D85">
        <w:rPr>
          <w:b/>
          <w:bCs/>
        </w:rPr>
        <w:t>may</w:t>
      </w:r>
      <w:r w:rsidR="002B0419" w:rsidRPr="00BB7D85">
        <w:rPr>
          <w:b/>
          <w:bCs/>
        </w:rPr>
        <w:t xml:space="preserve"> </w:t>
      </w:r>
      <w:r w:rsidRPr="00BB7D85">
        <w:rPr>
          <w:b/>
          <w:bCs/>
        </w:rPr>
        <w:t>be</w:t>
      </w:r>
      <w:r w:rsidR="002B0419" w:rsidRPr="00BB7D85">
        <w:rPr>
          <w:b/>
          <w:bCs/>
        </w:rPr>
        <w:t xml:space="preserve"> </w:t>
      </w:r>
      <w:r w:rsidRPr="00BB7D85">
        <w:rPr>
          <w:b/>
          <w:bCs/>
        </w:rPr>
        <w:t>contacted</w:t>
      </w:r>
      <w:r w:rsidR="002B0419" w:rsidRPr="00BB7D85">
        <w:rPr>
          <w:b/>
          <w:bCs/>
        </w:rPr>
        <w:t xml:space="preserve"> </w:t>
      </w:r>
      <w:r w:rsidRPr="00BB7D85">
        <w:rPr>
          <w:b/>
          <w:bCs/>
        </w:rPr>
        <w:t>via</w:t>
      </w:r>
      <w:r w:rsidR="00571F4B" w:rsidRPr="00BB7D85">
        <w:rPr>
          <w:b/>
          <w:bCs/>
        </w:rPr>
        <w:t>:</w:t>
      </w:r>
    </w:p>
    <w:p w14:paraId="5546CC1B" w14:textId="080F9D48" w:rsidR="0032203B" w:rsidRDefault="00285E81" w:rsidP="00176032">
      <w:pPr>
        <w:pStyle w:val="JANZSSABodyCopy10pt"/>
      </w:pPr>
      <w:r w:rsidRPr="00285E81">
        <w:t xml:space="preserve">Sakshi Kaushal </w:t>
      </w:r>
      <w:r w:rsidR="00367700">
        <w:t xml:space="preserve">— </w:t>
      </w:r>
      <w:r w:rsidRPr="00285E81">
        <w:t>sakshikaushal96@gmail.com</w:t>
      </w:r>
    </w:p>
    <w:p w14:paraId="38254176" w14:textId="77777777" w:rsidR="00C86D65" w:rsidRPr="00176032" w:rsidRDefault="00C86D65" w:rsidP="00176032">
      <w:pPr>
        <w:pStyle w:val="JANZSSABodyCopy10pt"/>
      </w:pPr>
    </w:p>
    <w:p w14:paraId="20683185" w14:textId="77777777" w:rsidR="000A0E3F" w:rsidRPr="00BB7D85" w:rsidRDefault="000411ED" w:rsidP="00BB7D85">
      <w:pPr>
        <w:pStyle w:val="JANZSSABodyCopy10pt"/>
        <w:rPr>
          <w:b/>
          <w:bCs/>
        </w:rPr>
      </w:pPr>
      <w:r w:rsidRPr="00BB7D85">
        <w:rPr>
          <w:b/>
          <w:bCs/>
        </w:rPr>
        <w:t>Please</w:t>
      </w:r>
      <w:r w:rsidR="002B0419" w:rsidRPr="00BB7D85">
        <w:rPr>
          <w:b/>
          <w:bCs/>
        </w:rPr>
        <w:t xml:space="preserve"> </w:t>
      </w:r>
      <w:r w:rsidRPr="00BB7D85">
        <w:rPr>
          <w:b/>
          <w:bCs/>
        </w:rPr>
        <w:t>cite</w:t>
      </w:r>
      <w:r w:rsidR="002B0419" w:rsidRPr="00BB7D85">
        <w:rPr>
          <w:b/>
          <w:bCs/>
        </w:rPr>
        <w:t xml:space="preserve"> </w:t>
      </w:r>
      <w:r w:rsidRPr="00BB7D85">
        <w:rPr>
          <w:b/>
          <w:bCs/>
        </w:rPr>
        <w:t>this</w:t>
      </w:r>
      <w:r w:rsidR="002B0419" w:rsidRPr="00BB7D85">
        <w:rPr>
          <w:b/>
          <w:bCs/>
        </w:rPr>
        <w:t xml:space="preserve"> </w:t>
      </w:r>
      <w:r w:rsidRPr="00BB7D85">
        <w:rPr>
          <w:b/>
          <w:bCs/>
        </w:rPr>
        <w:t>paper</w:t>
      </w:r>
      <w:r w:rsidR="002B0419" w:rsidRPr="00BB7D85">
        <w:rPr>
          <w:b/>
          <w:bCs/>
        </w:rPr>
        <w:t xml:space="preserve"> </w:t>
      </w:r>
      <w:r w:rsidRPr="00BB7D85">
        <w:rPr>
          <w:b/>
          <w:bCs/>
        </w:rPr>
        <w:t>as:</w:t>
      </w:r>
      <w:r w:rsidR="002B0419" w:rsidRPr="00BB7D85">
        <w:rPr>
          <w:b/>
          <w:bCs/>
        </w:rPr>
        <w:t xml:space="preserve"> </w:t>
      </w:r>
    </w:p>
    <w:p w14:paraId="3C0C663A" w14:textId="25EB5FB3" w:rsidR="000A0E3F" w:rsidRPr="00A96654" w:rsidRDefault="00A96654" w:rsidP="00A96654">
      <w:pPr>
        <w:pStyle w:val="JANZSSABodyCopy10pt"/>
        <w:ind w:left="0" w:firstLine="0"/>
      </w:pPr>
      <w:r w:rsidRPr="00A96654">
        <w:t>Kaushal</w:t>
      </w:r>
      <w:r>
        <w:t>,</w:t>
      </w:r>
      <w:r w:rsidRPr="00A96654">
        <w:t xml:space="preserve"> </w:t>
      </w:r>
      <w:r w:rsidR="000A3749" w:rsidRPr="00C95DA5">
        <w:t>S</w:t>
      </w:r>
      <w:r>
        <w:t>. (2026).</w:t>
      </w:r>
      <w:r w:rsidRPr="00A96654">
        <w:t xml:space="preserve"> More than just counselling: Evolving mental health support in Australian TAFEs: Integrating whole‑of‑institution strategies, peer‑led models</w:t>
      </w:r>
      <w:r w:rsidR="00AA2266">
        <w:t>,</w:t>
      </w:r>
      <w:r w:rsidRPr="00A96654">
        <w:t xml:space="preserve"> and neurodiversity‑affirming practice</w:t>
      </w:r>
      <w:r>
        <w:t xml:space="preserve">. </w:t>
      </w:r>
      <w:r w:rsidRPr="00A96654">
        <w:rPr>
          <w:i/>
          <w:iCs/>
        </w:rPr>
        <w:t>Journal of the Australian and New Zealand Student Services Association</w:t>
      </w:r>
      <w:r>
        <w:rPr>
          <w:i/>
          <w:iCs/>
        </w:rPr>
        <w:t xml:space="preserve">. </w:t>
      </w:r>
      <w:r>
        <w:t xml:space="preserve">Advance online publication. </w:t>
      </w:r>
      <w:r w:rsidRPr="00A96654">
        <w:t>https://doi.org/10.30688/janzssa.2026-3-</w:t>
      </w:r>
      <w:r w:rsidR="00AA2266">
        <w:t>03</w:t>
      </w:r>
    </w:p>
    <w:p w14:paraId="3457E383" w14:textId="77777777" w:rsidR="00D93174" w:rsidRDefault="00D93174" w:rsidP="000A0E3F">
      <w:pPr>
        <w:pStyle w:val="JANZSSATableContents"/>
        <w:rPr>
          <w:rFonts w:eastAsia="Calibri"/>
        </w:rPr>
      </w:pPr>
    </w:p>
    <w:p w14:paraId="0BB6F240" w14:textId="77777777" w:rsidR="000A0E3F" w:rsidRDefault="000A0E3F" w:rsidP="000A0E3F">
      <w:pPr>
        <w:pStyle w:val="JANZSSATableContents"/>
        <w:rPr>
          <w:rFonts w:eastAsia="Calibri"/>
        </w:rPr>
      </w:pPr>
    </w:p>
    <w:p w14:paraId="210B1121" w14:textId="5840766F" w:rsidR="000A0E3F" w:rsidRPr="000A0E3F" w:rsidRDefault="000A0E3F" w:rsidP="000A0E3F">
      <w:pPr>
        <w:pStyle w:val="JANZSSATableContents"/>
        <w:rPr>
          <w:b/>
          <w:bCs/>
        </w:rPr>
      </w:pPr>
      <w:r>
        <w:rPr>
          <w:noProof/>
        </w:rPr>
        <w:drawing>
          <wp:inline distT="0" distB="0" distL="0" distR="0" wp14:anchorId="755A375E" wp14:editId="24F05B8F">
            <wp:extent cx="1223010" cy="4273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3010" cy="427355"/>
                    </a:xfrm>
                    <a:prstGeom prst="rect">
                      <a:avLst/>
                    </a:prstGeom>
                    <a:noFill/>
                    <a:ln>
                      <a:noFill/>
                    </a:ln>
                  </pic:spPr>
                </pic:pic>
              </a:graphicData>
            </a:graphic>
          </wp:inline>
        </w:drawing>
      </w:r>
    </w:p>
    <w:p w14:paraId="409CDBC1" w14:textId="77777777" w:rsidR="000A0E3F" w:rsidRDefault="000A0E3F" w:rsidP="000A0E3F">
      <w:pPr>
        <w:pStyle w:val="JANZSSAfootnote0"/>
        <w:rPr>
          <w:sz w:val="20"/>
          <w:szCs w:val="20"/>
        </w:rPr>
      </w:pPr>
    </w:p>
    <w:p w14:paraId="5CA760DD" w14:textId="77777777" w:rsidR="000A0E3F" w:rsidRDefault="000A0E3F" w:rsidP="00176032">
      <w:pPr>
        <w:pStyle w:val="JANZSSABodycopy"/>
      </w:pPr>
      <w:r>
        <w:t>This work is licensed under the Creative Commons Attribution 4.0 International License. To view a copy of this license, visit http://creativecommons.org/licenses/by/4.0/ or send a letter to Creative Commons, PO Box 1866, Mountain View, CA 94042, USA.</w:t>
      </w:r>
    </w:p>
    <w:bookmarkEnd w:id="0"/>
    <w:p w14:paraId="11A339ED" w14:textId="77777777" w:rsidR="0005549E" w:rsidRDefault="0005549E" w:rsidP="00176032">
      <w:pPr>
        <w:pStyle w:val="JANZSSABodycopy"/>
      </w:pPr>
    </w:p>
    <w:sectPr w:rsidR="0005549E" w:rsidSect="00E70C01">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1907" w:h="16839" w:code="9"/>
      <w:pgMar w:top="1281" w:right="1140" w:bottom="1281" w:left="1140" w:header="567" w:footer="67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5424E" w14:textId="77777777" w:rsidR="00CE673B" w:rsidRDefault="00CE673B" w:rsidP="00EE09D3">
      <w:r>
        <w:separator/>
      </w:r>
    </w:p>
    <w:p w14:paraId="1A4D884C" w14:textId="77777777" w:rsidR="00CE673B" w:rsidRDefault="00CE673B"/>
    <w:p w14:paraId="2B729CE8" w14:textId="77777777" w:rsidR="00CE673B" w:rsidRDefault="00CE673B"/>
  </w:endnote>
  <w:endnote w:type="continuationSeparator" w:id="0">
    <w:p w14:paraId="2B7033A2" w14:textId="77777777" w:rsidR="00CE673B" w:rsidRDefault="00CE673B" w:rsidP="00EE09D3">
      <w:r>
        <w:continuationSeparator/>
      </w:r>
    </w:p>
    <w:p w14:paraId="0A7997BC" w14:textId="77777777" w:rsidR="00CE673B" w:rsidRDefault="00CE673B"/>
    <w:p w14:paraId="75BEBE84" w14:textId="77777777" w:rsidR="00CE673B" w:rsidRDefault="00CE67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A402F" w14:textId="77777777" w:rsidR="00D93174" w:rsidRDefault="00D93174" w:rsidP="00D93174">
    <w:pPr>
      <w:tabs>
        <w:tab w:val="center" w:pos="4973"/>
        <w:tab w:val="right" w:pos="9927"/>
      </w:tabs>
      <w:autoSpaceDE w:val="0"/>
      <w:autoSpaceDN w:val="0"/>
      <w:spacing w:before="120"/>
      <w:ind w:right="360" w:firstLine="360"/>
      <w:contextualSpacing/>
      <w:jc w:val="center"/>
      <w:rPr>
        <w:i/>
        <w:iCs/>
        <w:sz w:val="18"/>
        <w:szCs w:val="18"/>
      </w:rPr>
    </w:pPr>
  </w:p>
  <w:p w14:paraId="5BF35149" w14:textId="54545C81" w:rsidR="00D93174" w:rsidRPr="004167FD" w:rsidRDefault="00D93174" w:rsidP="004167FD">
    <w:pPr>
      <w:pStyle w:val="JANZSSAFooter"/>
    </w:pPr>
    <w:r w:rsidRPr="004167FD">
      <w:t>Journal of the Australian and New Zealand Student Services Association</w:t>
    </w:r>
  </w:p>
  <w:p w14:paraId="5446DD8B" w14:textId="3DADFA1C" w:rsidR="004167FD" w:rsidRPr="004167FD" w:rsidRDefault="00D93174" w:rsidP="004167FD">
    <w:pPr>
      <w:tabs>
        <w:tab w:val="center" w:pos="4973"/>
        <w:tab w:val="right" w:pos="9927"/>
      </w:tabs>
      <w:autoSpaceDE w:val="0"/>
      <w:autoSpaceDN w:val="0"/>
      <w:spacing w:before="120"/>
      <w:ind w:right="360" w:firstLine="360"/>
      <w:contextualSpacing/>
      <w:jc w:val="center"/>
      <w:rPr>
        <w:sz w:val="18"/>
        <w:szCs w:val="18"/>
      </w:rPr>
    </w:pPr>
    <w:r w:rsidRPr="00D93174">
      <w:rPr>
        <w:sz w:val="18"/>
        <w:szCs w:val="18"/>
      </w:rPr>
      <w:fldChar w:fldCharType="begin"/>
    </w:r>
    <w:r w:rsidRPr="00D93174">
      <w:rPr>
        <w:sz w:val="18"/>
        <w:szCs w:val="18"/>
      </w:rPr>
      <w:instrText xml:space="preserve"> PAGE   \* MERGEFORMAT </w:instrText>
    </w:r>
    <w:r w:rsidRPr="00D93174">
      <w:rPr>
        <w:sz w:val="18"/>
        <w:szCs w:val="18"/>
      </w:rPr>
      <w:fldChar w:fldCharType="separate"/>
    </w:r>
    <w:r>
      <w:rPr>
        <w:sz w:val="18"/>
        <w:szCs w:val="18"/>
      </w:rPr>
      <w:t>1</w:t>
    </w:r>
    <w:r w:rsidRPr="00D93174">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AE1F8" w14:textId="77777777" w:rsidR="00D93174" w:rsidRDefault="00D93174" w:rsidP="00D93174">
    <w:pPr>
      <w:tabs>
        <w:tab w:val="center" w:pos="4973"/>
        <w:tab w:val="right" w:pos="9927"/>
      </w:tabs>
      <w:autoSpaceDE w:val="0"/>
      <w:autoSpaceDN w:val="0"/>
      <w:spacing w:before="120"/>
      <w:ind w:right="360" w:firstLine="360"/>
      <w:contextualSpacing/>
      <w:jc w:val="center"/>
      <w:rPr>
        <w:i/>
        <w:iCs/>
        <w:sz w:val="18"/>
        <w:szCs w:val="18"/>
      </w:rPr>
    </w:pPr>
  </w:p>
  <w:p w14:paraId="4AC911B0" w14:textId="2D17EB73" w:rsidR="00D93174" w:rsidRDefault="00D93174" w:rsidP="004167FD">
    <w:pPr>
      <w:pStyle w:val="JANZSSAFooter"/>
      <w:rPr>
        <w:color w:val="FF0000"/>
      </w:rPr>
    </w:pPr>
    <w:r w:rsidRPr="00CD07E8">
      <w:t>Journal of the Australian and New Zealand Student Services Association</w:t>
    </w:r>
  </w:p>
  <w:p w14:paraId="075B1207" w14:textId="261195AC" w:rsidR="008C61AD" w:rsidRPr="004167FD" w:rsidRDefault="00D93174" w:rsidP="004167FD">
    <w:pPr>
      <w:tabs>
        <w:tab w:val="center" w:pos="4973"/>
        <w:tab w:val="right" w:pos="9927"/>
      </w:tabs>
      <w:autoSpaceDE w:val="0"/>
      <w:autoSpaceDN w:val="0"/>
      <w:spacing w:before="120"/>
      <w:ind w:right="360" w:firstLine="360"/>
      <w:contextualSpacing/>
      <w:jc w:val="center"/>
      <w:rPr>
        <w:sz w:val="18"/>
        <w:szCs w:val="18"/>
      </w:rPr>
    </w:pPr>
    <w:r w:rsidRPr="00D93174">
      <w:rPr>
        <w:sz w:val="18"/>
        <w:szCs w:val="18"/>
      </w:rPr>
      <w:fldChar w:fldCharType="begin"/>
    </w:r>
    <w:r w:rsidRPr="00D93174">
      <w:rPr>
        <w:sz w:val="18"/>
        <w:szCs w:val="18"/>
      </w:rPr>
      <w:instrText xml:space="preserve"> PAGE   \* MERGEFORMAT </w:instrText>
    </w:r>
    <w:r w:rsidRPr="00D93174">
      <w:rPr>
        <w:sz w:val="18"/>
        <w:szCs w:val="18"/>
      </w:rPr>
      <w:fldChar w:fldCharType="separate"/>
    </w:r>
    <w:r>
      <w:rPr>
        <w:sz w:val="18"/>
        <w:szCs w:val="18"/>
      </w:rPr>
      <w:t>1</w:t>
    </w:r>
    <w:r w:rsidRPr="00D93174">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A92F6" w14:textId="77777777" w:rsidR="004167FD" w:rsidRDefault="004167FD" w:rsidP="004167FD">
    <w:pPr>
      <w:pStyle w:val="JANZSSAFooter"/>
    </w:pPr>
  </w:p>
  <w:p w14:paraId="7A4A8EB2" w14:textId="20B5DA0B" w:rsidR="00D93174" w:rsidRPr="004167FD" w:rsidRDefault="00D93174" w:rsidP="004167FD">
    <w:pPr>
      <w:pStyle w:val="JANZSSAFooter"/>
    </w:pPr>
    <w:r w:rsidRPr="004167FD">
      <w:t>Journal of the Au</w:t>
    </w:r>
    <w:r w:rsidRPr="004167FD">
      <w:rPr>
        <w:rStyle w:val="JANZSSAFooterChar"/>
        <w:i/>
        <w:iCs/>
      </w:rPr>
      <w:t>stralian and New Zealand Student S</w:t>
    </w:r>
    <w:r w:rsidRPr="004167FD">
      <w:t>ervices Association</w:t>
    </w:r>
  </w:p>
  <w:p w14:paraId="48C04293" w14:textId="12C6EBF4" w:rsidR="004167FD" w:rsidRPr="004167FD" w:rsidRDefault="00D93174" w:rsidP="004167FD">
    <w:pPr>
      <w:tabs>
        <w:tab w:val="center" w:pos="4973"/>
        <w:tab w:val="right" w:pos="9927"/>
      </w:tabs>
      <w:autoSpaceDE w:val="0"/>
      <w:autoSpaceDN w:val="0"/>
      <w:spacing w:before="120"/>
      <w:ind w:right="360" w:firstLine="360"/>
      <w:contextualSpacing/>
      <w:jc w:val="center"/>
      <w:rPr>
        <w:sz w:val="18"/>
        <w:szCs w:val="18"/>
      </w:rPr>
    </w:pPr>
    <w:r w:rsidRPr="00D93174">
      <w:rPr>
        <w:sz w:val="18"/>
        <w:szCs w:val="18"/>
      </w:rPr>
      <w:fldChar w:fldCharType="begin"/>
    </w:r>
    <w:r w:rsidRPr="00D93174">
      <w:rPr>
        <w:sz w:val="18"/>
        <w:szCs w:val="18"/>
      </w:rPr>
      <w:instrText xml:space="preserve"> PAGE   \* MERGEFORMAT </w:instrText>
    </w:r>
    <w:r w:rsidRPr="00D93174">
      <w:rPr>
        <w:sz w:val="18"/>
        <w:szCs w:val="18"/>
      </w:rPr>
      <w:fldChar w:fldCharType="separate"/>
    </w:r>
    <w:r w:rsidRPr="00D93174">
      <w:rPr>
        <w:noProof/>
        <w:sz w:val="18"/>
        <w:szCs w:val="18"/>
      </w:rPr>
      <w:t>1</w:t>
    </w:r>
    <w:r w:rsidRPr="00D93174">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95517" w14:textId="77777777" w:rsidR="00CE673B" w:rsidRDefault="00CE673B" w:rsidP="00EE09D3">
      <w:r>
        <w:separator/>
      </w:r>
    </w:p>
    <w:p w14:paraId="51D1FC6A" w14:textId="77777777" w:rsidR="00CE673B" w:rsidRDefault="00CE673B"/>
    <w:p w14:paraId="7FCD5D06" w14:textId="77777777" w:rsidR="00CE673B" w:rsidRDefault="00CE673B"/>
  </w:footnote>
  <w:footnote w:type="continuationSeparator" w:id="0">
    <w:p w14:paraId="57BD39B9" w14:textId="77777777" w:rsidR="00CE673B" w:rsidRDefault="00CE673B" w:rsidP="00EE09D3">
      <w:r>
        <w:continuationSeparator/>
      </w:r>
    </w:p>
    <w:p w14:paraId="115C650C" w14:textId="77777777" w:rsidR="00CE673B" w:rsidRDefault="00CE673B"/>
    <w:p w14:paraId="209D33FC" w14:textId="77777777" w:rsidR="00CE673B" w:rsidRDefault="00CE67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480A8" w14:textId="3DF9FAA3" w:rsidR="00DB6ECF" w:rsidRPr="00D93174" w:rsidRDefault="00A96654" w:rsidP="00A96654">
    <w:pPr>
      <w:pStyle w:val="JANZSSARuningHead"/>
    </w:pPr>
    <w:r w:rsidRPr="00A96654">
      <w:t>More than just counselling: Evolving mental health support in Australian TAFEs</w:t>
    </w:r>
  </w:p>
  <w:p w14:paraId="2E9BAA5C" w14:textId="77777777" w:rsidR="008C61AD" w:rsidRDefault="008C61AD"/>
  <w:p w14:paraId="45C1C7BD" w14:textId="77777777" w:rsidR="008C61AD" w:rsidRDefault="008C61A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1E9CC" w14:textId="15FD0042" w:rsidR="00DB6ECF" w:rsidRPr="006A0AF4" w:rsidRDefault="00D93174" w:rsidP="00C95DA5">
    <w:pPr>
      <w:pStyle w:val="JANZSSAHeader"/>
    </w:pPr>
    <w:r w:rsidRPr="006A0AF4">
      <w:t xml:space="preserve">JANZSSA doi: </w:t>
    </w:r>
    <w:r w:rsidR="00A96654" w:rsidRPr="00A96654">
      <w:t>10.30688/janzssa.2026-3-</w:t>
    </w:r>
    <w:r w:rsidR="00AA2266">
      <w:t>03</w:t>
    </w:r>
  </w:p>
  <w:p w14:paraId="63BC53F5" w14:textId="77777777" w:rsidR="008C61AD" w:rsidRDefault="008C61AD"/>
  <w:p w14:paraId="6DDAF71F" w14:textId="77777777" w:rsidR="008C61AD" w:rsidRDefault="008C61A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4354E" w14:textId="5ADB4021" w:rsidR="00C726E2" w:rsidRPr="00C726E2" w:rsidRDefault="00543A0C" w:rsidP="00C726E2">
    <w:pPr>
      <w:pStyle w:val="JANZSSAHeader"/>
      <w:rPr>
        <w:b/>
        <w:bCs/>
      </w:rPr>
    </w:pPr>
    <w:r>
      <w:rPr>
        <w:b/>
        <w:bCs/>
      </w:rPr>
      <w:t>Professional</w:t>
    </w:r>
    <w:r w:rsidR="00C726E2" w:rsidRPr="00C726E2">
      <w:rPr>
        <w:b/>
        <w:bCs/>
      </w:rPr>
      <w:t xml:space="preserve"> Paper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B0ADD"/>
    <w:multiLevelType w:val="multilevel"/>
    <w:tmpl w:val="C20E4B6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BDD3F94"/>
    <w:multiLevelType w:val="hybridMultilevel"/>
    <w:tmpl w:val="C92896C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E0272A"/>
    <w:multiLevelType w:val="hybridMultilevel"/>
    <w:tmpl w:val="480EB66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10E37AA7"/>
    <w:multiLevelType w:val="hybridMultilevel"/>
    <w:tmpl w:val="5B624D7A"/>
    <w:lvl w:ilvl="0" w:tplc="B7F49266">
      <w:start w:val="1"/>
      <w:numFmt w:val="decimal"/>
      <w:pStyle w:val="JANZSSANumberedheading"/>
      <w:lvlText w:val="%1."/>
      <w:lvlJc w:val="left"/>
      <w:pPr>
        <w:ind w:left="720" w:hanging="360"/>
      </w:pPr>
      <w:rPr>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99D588E"/>
    <w:multiLevelType w:val="hybridMultilevel"/>
    <w:tmpl w:val="F1E8EC36"/>
    <w:lvl w:ilvl="0" w:tplc="87EE5178">
      <w:start w:val="1"/>
      <w:numFmt w:val="decimal"/>
      <w:pStyle w:val="JANZSSANumberList"/>
      <w:lvlText w:val="%1."/>
      <w:lvlJc w:val="left"/>
      <w:pPr>
        <w:ind w:left="2160" w:hanging="360"/>
      </w:pPr>
      <w:rPr>
        <w:rFonts w:hint="default"/>
      </w:rPr>
    </w:lvl>
    <w:lvl w:ilvl="1" w:tplc="0C090019">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5" w15:restartNumberingAfterBreak="0">
    <w:nsid w:val="205E5C73"/>
    <w:multiLevelType w:val="hybridMultilevel"/>
    <w:tmpl w:val="E5D82BCC"/>
    <w:styleLink w:val="ImportedStyle1"/>
    <w:lvl w:ilvl="0" w:tplc="79262E4A">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7C8463E">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7185692">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7B0410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F461F9C">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C0D1C2">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F8A3C24">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46ACCC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40ABB84">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215F7C5A"/>
    <w:multiLevelType w:val="hybridMultilevel"/>
    <w:tmpl w:val="FFFFFFFF"/>
    <w:lvl w:ilvl="0" w:tplc="BAFE271C">
      <w:start w:val="1"/>
      <w:numFmt w:val="bullet"/>
      <w:lvlText w:val=""/>
      <w:lvlJc w:val="left"/>
      <w:pPr>
        <w:ind w:left="720" w:hanging="360"/>
      </w:pPr>
      <w:rPr>
        <w:rFonts w:ascii="Symbol" w:hAnsi="Symbol" w:hint="default"/>
      </w:rPr>
    </w:lvl>
    <w:lvl w:ilvl="1" w:tplc="AE50B006">
      <w:start w:val="1"/>
      <w:numFmt w:val="bullet"/>
      <w:lvlText w:val="o"/>
      <w:lvlJc w:val="left"/>
      <w:pPr>
        <w:ind w:left="1440" w:hanging="360"/>
      </w:pPr>
      <w:rPr>
        <w:rFonts w:ascii="Courier New" w:hAnsi="Courier New" w:cs="Times New Roman" w:hint="default"/>
      </w:rPr>
    </w:lvl>
    <w:lvl w:ilvl="2" w:tplc="7D5C9210">
      <w:start w:val="1"/>
      <w:numFmt w:val="bullet"/>
      <w:lvlText w:val=""/>
      <w:lvlJc w:val="left"/>
      <w:pPr>
        <w:ind w:left="2160" w:hanging="360"/>
      </w:pPr>
      <w:rPr>
        <w:rFonts w:ascii="Wingdings" w:hAnsi="Wingdings" w:hint="default"/>
      </w:rPr>
    </w:lvl>
    <w:lvl w:ilvl="3" w:tplc="18C49346">
      <w:start w:val="1"/>
      <w:numFmt w:val="bullet"/>
      <w:lvlText w:val=""/>
      <w:lvlJc w:val="left"/>
      <w:pPr>
        <w:ind w:left="2880" w:hanging="360"/>
      </w:pPr>
      <w:rPr>
        <w:rFonts w:ascii="Symbol" w:hAnsi="Symbol" w:hint="default"/>
      </w:rPr>
    </w:lvl>
    <w:lvl w:ilvl="4" w:tplc="586A5A00">
      <w:start w:val="1"/>
      <w:numFmt w:val="bullet"/>
      <w:lvlText w:val="o"/>
      <w:lvlJc w:val="left"/>
      <w:pPr>
        <w:ind w:left="3600" w:hanging="360"/>
      </w:pPr>
      <w:rPr>
        <w:rFonts w:ascii="Courier New" w:hAnsi="Courier New" w:cs="Times New Roman" w:hint="default"/>
      </w:rPr>
    </w:lvl>
    <w:lvl w:ilvl="5" w:tplc="1FF2FEB8">
      <w:start w:val="1"/>
      <w:numFmt w:val="bullet"/>
      <w:lvlText w:val=""/>
      <w:lvlJc w:val="left"/>
      <w:pPr>
        <w:ind w:left="4320" w:hanging="360"/>
      </w:pPr>
      <w:rPr>
        <w:rFonts w:ascii="Wingdings" w:hAnsi="Wingdings" w:hint="default"/>
      </w:rPr>
    </w:lvl>
    <w:lvl w:ilvl="6" w:tplc="9C8061C0">
      <w:start w:val="1"/>
      <w:numFmt w:val="bullet"/>
      <w:lvlText w:val=""/>
      <w:lvlJc w:val="left"/>
      <w:pPr>
        <w:ind w:left="5040" w:hanging="360"/>
      </w:pPr>
      <w:rPr>
        <w:rFonts w:ascii="Symbol" w:hAnsi="Symbol" w:hint="default"/>
      </w:rPr>
    </w:lvl>
    <w:lvl w:ilvl="7" w:tplc="A0A8EBCA">
      <w:start w:val="1"/>
      <w:numFmt w:val="bullet"/>
      <w:lvlText w:val="o"/>
      <w:lvlJc w:val="left"/>
      <w:pPr>
        <w:ind w:left="5760" w:hanging="360"/>
      </w:pPr>
      <w:rPr>
        <w:rFonts w:ascii="Courier New" w:hAnsi="Courier New" w:cs="Times New Roman" w:hint="default"/>
      </w:rPr>
    </w:lvl>
    <w:lvl w:ilvl="8" w:tplc="53FA2FB6">
      <w:start w:val="1"/>
      <w:numFmt w:val="bullet"/>
      <w:lvlText w:val=""/>
      <w:lvlJc w:val="left"/>
      <w:pPr>
        <w:ind w:left="6480" w:hanging="360"/>
      </w:pPr>
      <w:rPr>
        <w:rFonts w:ascii="Wingdings" w:hAnsi="Wingdings" w:hint="default"/>
      </w:rPr>
    </w:lvl>
  </w:abstractNum>
  <w:abstractNum w:abstractNumId="7" w15:restartNumberingAfterBreak="0">
    <w:nsid w:val="266C3713"/>
    <w:multiLevelType w:val="hybridMultilevel"/>
    <w:tmpl w:val="5170A9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2B5D429C"/>
    <w:multiLevelType w:val="multilevel"/>
    <w:tmpl w:val="546E6C1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D025151"/>
    <w:multiLevelType w:val="hybridMultilevel"/>
    <w:tmpl w:val="6BB8E492"/>
    <w:lvl w:ilvl="0" w:tplc="017EA7A6">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4C3978"/>
    <w:multiLevelType w:val="multilevel"/>
    <w:tmpl w:val="E856D7F8"/>
    <w:styleLink w:val="List0"/>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1" w15:restartNumberingAfterBreak="0">
    <w:nsid w:val="320E1119"/>
    <w:multiLevelType w:val="hybridMultilevel"/>
    <w:tmpl w:val="0D30410E"/>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0C090001">
      <w:start w:val="1"/>
      <w:numFmt w:val="bullet"/>
      <w:lvlText w:val=""/>
      <w:lvlJc w:val="left"/>
      <w:pPr>
        <w:ind w:left="2160" w:hanging="360"/>
      </w:pPr>
      <w:rPr>
        <w:rFonts w:ascii="Symbol" w:hAnsi="Symbol" w:hint="default"/>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2" w15:restartNumberingAfterBreak="0">
    <w:nsid w:val="33DD6DAF"/>
    <w:multiLevelType w:val="hybridMultilevel"/>
    <w:tmpl w:val="3730A2FA"/>
    <w:lvl w:ilvl="0" w:tplc="0C09001B">
      <w:start w:val="1"/>
      <w:numFmt w:val="lowerRoman"/>
      <w:lvlText w:val="%1."/>
      <w:lvlJc w:val="right"/>
      <w:pPr>
        <w:ind w:left="2520" w:hanging="360"/>
      </w:pPr>
    </w:lvl>
    <w:lvl w:ilvl="1" w:tplc="0C090019">
      <w:start w:val="1"/>
      <w:numFmt w:val="lowerLetter"/>
      <w:lvlText w:val="%2."/>
      <w:lvlJc w:val="left"/>
      <w:pPr>
        <w:ind w:left="3240" w:hanging="360"/>
      </w:pPr>
    </w:lvl>
    <w:lvl w:ilvl="2" w:tplc="0C09001B">
      <w:start w:val="1"/>
      <w:numFmt w:val="lowerRoman"/>
      <w:lvlText w:val="%3."/>
      <w:lvlJc w:val="right"/>
      <w:pPr>
        <w:ind w:left="3960" w:hanging="180"/>
      </w:pPr>
    </w:lvl>
    <w:lvl w:ilvl="3" w:tplc="0C09000F">
      <w:start w:val="1"/>
      <w:numFmt w:val="decimal"/>
      <w:lvlText w:val="%4."/>
      <w:lvlJc w:val="left"/>
      <w:pPr>
        <w:ind w:left="4680" w:hanging="360"/>
      </w:pPr>
    </w:lvl>
    <w:lvl w:ilvl="4" w:tplc="0C090019">
      <w:start w:val="1"/>
      <w:numFmt w:val="lowerLetter"/>
      <w:lvlText w:val="%5."/>
      <w:lvlJc w:val="left"/>
      <w:pPr>
        <w:ind w:left="5400" w:hanging="360"/>
      </w:pPr>
    </w:lvl>
    <w:lvl w:ilvl="5" w:tplc="0C09001B">
      <w:start w:val="1"/>
      <w:numFmt w:val="lowerRoman"/>
      <w:lvlText w:val="%6."/>
      <w:lvlJc w:val="right"/>
      <w:pPr>
        <w:ind w:left="6120" w:hanging="180"/>
      </w:pPr>
    </w:lvl>
    <w:lvl w:ilvl="6" w:tplc="0C09000F">
      <w:start w:val="1"/>
      <w:numFmt w:val="decimal"/>
      <w:lvlText w:val="%7."/>
      <w:lvlJc w:val="left"/>
      <w:pPr>
        <w:ind w:left="6840" w:hanging="360"/>
      </w:pPr>
    </w:lvl>
    <w:lvl w:ilvl="7" w:tplc="0C090019">
      <w:start w:val="1"/>
      <w:numFmt w:val="lowerLetter"/>
      <w:lvlText w:val="%8."/>
      <w:lvlJc w:val="left"/>
      <w:pPr>
        <w:ind w:left="7560" w:hanging="360"/>
      </w:pPr>
    </w:lvl>
    <w:lvl w:ilvl="8" w:tplc="0C09001B">
      <w:start w:val="1"/>
      <w:numFmt w:val="lowerRoman"/>
      <w:lvlText w:val="%9."/>
      <w:lvlJc w:val="right"/>
      <w:pPr>
        <w:ind w:left="8280" w:hanging="180"/>
      </w:pPr>
    </w:lvl>
  </w:abstractNum>
  <w:abstractNum w:abstractNumId="13" w15:restartNumberingAfterBreak="0">
    <w:nsid w:val="36C43F23"/>
    <w:multiLevelType w:val="multilevel"/>
    <w:tmpl w:val="D04471E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3C5D0C07"/>
    <w:multiLevelType w:val="hybridMultilevel"/>
    <w:tmpl w:val="4CA02766"/>
    <w:lvl w:ilvl="0" w:tplc="79367BA0">
      <w:start w:val="1"/>
      <w:numFmt w:val="decimal"/>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E601E94"/>
    <w:multiLevelType w:val="hybridMultilevel"/>
    <w:tmpl w:val="ECD65614"/>
    <w:lvl w:ilvl="0" w:tplc="2166C214">
      <w:start w:val="1"/>
      <w:numFmt w:val="bullet"/>
      <w:lvlText w:val=""/>
      <w:lvlJc w:val="left"/>
      <w:pPr>
        <w:ind w:left="1569" w:hanging="360"/>
      </w:pPr>
      <w:rPr>
        <w:rFonts w:ascii="Wingdings 3" w:hAnsi="Wingdings 3" w:hint="default"/>
      </w:rPr>
    </w:lvl>
    <w:lvl w:ilvl="1" w:tplc="04090003">
      <w:start w:val="1"/>
      <w:numFmt w:val="bullet"/>
      <w:lvlText w:val="o"/>
      <w:lvlJc w:val="left"/>
      <w:pPr>
        <w:ind w:left="2292" w:hanging="360"/>
      </w:pPr>
      <w:rPr>
        <w:rFonts w:ascii="Courier New" w:hAnsi="Courier New" w:cs="Courier New" w:hint="default"/>
      </w:rPr>
    </w:lvl>
    <w:lvl w:ilvl="2" w:tplc="04090005" w:tentative="1">
      <w:start w:val="1"/>
      <w:numFmt w:val="bullet"/>
      <w:lvlText w:val=""/>
      <w:lvlJc w:val="left"/>
      <w:pPr>
        <w:ind w:left="3012" w:hanging="360"/>
      </w:pPr>
      <w:rPr>
        <w:rFonts w:ascii="Wingdings" w:hAnsi="Wingdings" w:hint="default"/>
      </w:rPr>
    </w:lvl>
    <w:lvl w:ilvl="3" w:tplc="04090001" w:tentative="1">
      <w:start w:val="1"/>
      <w:numFmt w:val="bullet"/>
      <w:lvlText w:val=""/>
      <w:lvlJc w:val="left"/>
      <w:pPr>
        <w:ind w:left="3732" w:hanging="360"/>
      </w:pPr>
      <w:rPr>
        <w:rFonts w:ascii="Symbol" w:hAnsi="Symbol" w:hint="default"/>
      </w:rPr>
    </w:lvl>
    <w:lvl w:ilvl="4" w:tplc="04090003" w:tentative="1">
      <w:start w:val="1"/>
      <w:numFmt w:val="bullet"/>
      <w:lvlText w:val="o"/>
      <w:lvlJc w:val="left"/>
      <w:pPr>
        <w:ind w:left="4452" w:hanging="360"/>
      </w:pPr>
      <w:rPr>
        <w:rFonts w:ascii="Courier New" w:hAnsi="Courier New" w:cs="Courier New" w:hint="default"/>
      </w:rPr>
    </w:lvl>
    <w:lvl w:ilvl="5" w:tplc="04090005" w:tentative="1">
      <w:start w:val="1"/>
      <w:numFmt w:val="bullet"/>
      <w:lvlText w:val=""/>
      <w:lvlJc w:val="left"/>
      <w:pPr>
        <w:ind w:left="5172" w:hanging="360"/>
      </w:pPr>
      <w:rPr>
        <w:rFonts w:ascii="Wingdings" w:hAnsi="Wingdings" w:hint="default"/>
      </w:rPr>
    </w:lvl>
    <w:lvl w:ilvl="6" w:tplc="04090001" w:tentative="1">
      <w:start w:val="1"/>
      <w:numFmt w:val="bullet"/>
      <w:lvlText w:val=""/>
      <w:lvlJc w:val="left"/>
      <w:pPr>
        <w:ind w:left="5892" w:hanging="360"/>
      </w:pPr>
      <w:rPr>
        <w:rFonts w:ascii="Symbol" w:hAnsi="Symbol" w:hint="default"/>
      </w:rPr>
    </w:lvl>
    <w:lvl w:ilvl="7" w:tplc="04090003" w:tentative="1">
      <w:start w:val="1"/>
      <w:numFmt w:val="bullet"/>
      <w:lvlText w:val="o"/>
      <w:lvlJc w:val="left"/>
      <w:pPr>
        <w:ind w:left="6612" w:hanging="360"/>
      </w:pPr>
      <w:rPr>
        <w:rFonts w:ascii="Courier New" w:hAnsi="Courier New" w:cs="Courier New" w:hint="default"/>
      </w:rPr>
    </w:lvl>
    <w:lvl w:ilvl="8" w:tplc="04090005" w:tentative="1">
      <w:start w:val="1"/>
      <w:numFmt w:val="bullet"/>
      <w:lvlText w:val=""/>
      <w:lvlJc w:val="left"/>
      <w:pPr>
        <w:ind w:left="7332" w:hanging="360"/>
      </w:pPr>
      <w:rPr>
        <w:rFonts w:ascii="Wingdings" w:hAnsi="Wingdings" w:hint="default"/>
      </w:rPr>
    </w:lvl>
  </w:abstractNum>
  <w:abstractNum w:abstractNumId="16" w15:restartNumberingAfterBreak="0">
    <w:nsid w:val="461D0502"/>
    <w:multiLevelType w:val="hybridMultilevel"/>
    <w:tmpl w:val="2272CF22"/>
    <w:lvl w:ilvl="0" w:tplc="57885B68">
      <w:start w:val="1"/>
      <w:numFmt w:val="decimal"/>
      <w:lvlText w:val="%1."/>
      <w:lvlJc w:val="left"/>
      <w:pPr>
        <w:ind w:left="2520" w:hanging="360"/>
      </w:pPr>
      <w:rPr>
        <w:rFonts w:hint="default"/>
      </w:r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17" w15:restartNumberingAfterBreak="0">
    <w:nsid w:val="4F721014"/>
    <w:multiLevelType w:val="hybridMultilevel"/>
    <w:tmpl w:val="0C09001D"/>
    <w:styleLink w:val="Style1"/>
    <w:lvl w:ilvl="0" w:tplc="2AA6A990">
      <w:start w:val="2"/>
      <w:numFmt w:val="decimal"/>
      <w:lvlText w:val="%1)"/>
      <w:lvlJc w:val="left"/>
      <w:pPr>
        <w:ind w:left="360" w:hanging="360"/>
      </w:pPr>
    </w:lvl>
    <w:lvl w:ilvl="1" w:tplc="930EF7EE">
      <w:start w:val="1"/>
      <w:numFmt w:val="lowerLetter"/>
      <w:lvlText w:val="%2)"/>
      <w:lvlJc w:val="left"/>
      <w:pPr>
        <w:ind w:left="720" w:hanging="360"/>
      </w:pPr>
    </w:lvl>
    <w:lvl w:ilvl="2" w:tplc="EB5000E2">
      <w:start w:val="1"/>
      <w:numFmt w:val="lowerRoman"/>
      <w:lvlText w:val="%3)"/>
      <w:lvlJc w:val="left"/>
      <w:pPr>
        <w:ind w:left="1080" w:hanging="360"/>
      </w:pPr>
    </w:lvl>
    <w:lvl w:ilvl="3" w:tplc="20A6053C">
      <w:start w:val="1"/>
      <w:numFmt w:val="decimal"/>
      <w:lvlText w:val="(%4)"/>
      <w:lvlJc w:val="left"/>
      <w:pPr>
        <w:ind w:left="1440" w:hanging="360"/>
      </w:pPr>
    </w:lvl>
    <w:lvl w:ilvl="4" w:tplc="1E24A190">
      <w:start w:val="1"/>
      <w:numFmt w:val="lowerLetter"/>
      <w:lvlText w:val="(%5)"/>
      <w:lvlJc w:val="left"/>
      <w:pPr>
        <w:ind w:left="1800" w:hanging="360"/>
      </w:pPr>
    </w:lvl>
    <w:lvl w:ilvl="5" w:tplc="A7C477B4">
      <w:start w:val="1"/>
      <w:numFmt w:val="lowerRoman"/>
      <w:lvlText w:val="(%6)"/>
      <w:lvlJc w:val="left"/>
      <w:pPr>
        <w:ind w:left="2160" w:hanging="360"/>
      </w:pPr>
    </w:lvl>
    <w:lvl w:ilvl="6" w:tplc="98CE92FE">
      <w:start w:val="1"/>
      <w:numFmt w:val="decimal"/>
      <w:lvlText w:val="%7."/>
      <w:lvlJc w:val="left"/>
      <w:pPr>
        <w:ind w:left="2520" w:hanging="360"/>
      </w:pPr>
    </w:lvl>
    <w:lvl w:ilvl="7" w:tplc="908E30F6">
      <w:start w:val="1"/>
      <w:numFmt w:val="lowerLetter"/>
      <w:lvlText w:val="%8."/>
      <w:lvlJc w:val="left"/>
      <w:pPr>
        <w:ind w:left="2880" w:hanging="360"/>
      </w:pPr>
    </w:lvl>
    <w:lvl w:ilvl="8" w:tplc="AFD055EC">
      <w:start w:val="1"/>
      <w:numFmt w:val="lowerRoman"/>
      <w:lvlText w:val="%9."/>
      <w:lvlJc w:val="left"/>
      <w:pPr>
        <w:ind w:left="3240" w:hanging="360"/>
      </w:pPr>
    </w:lvl>
  </w:abstractNum>
  <w:abstractNum w:abstractNumId="18" w15:restartNumberingAfterBreak="0">
    <w:nsid w:val="53220D5C"/>
    <w:multiLevelType w:val="hybridMultilevel"/>
    <w:tmpl w:val="5EF68B74"/>
    <w:styleLink w:val="List31"/>
    <w:lvl w:ilvl="0" w:tplc="AC08270E">
      <w:numFmt w:val="bullet"/>
      <w:lvlText w:val="•"/>
      <w:lvlJc w:val="left"/>
      <w:rPr>
        <w:position w:val="0"/>
        <w:rtl w:val="0"/>
        <w:lang w:val="en-US"/>
      </w:rPr>
    </w:lvl>
    <w:lvl w:ilvl="1" w:tplc="9BEA02A4">
      <w:start w:val="1"/>
      <w:numFmt w:val="bullet"/>
      <w:lvlText w:val="o"/>
      <w:lvlJc w:val="left"/>
      <w:rPr>
        <w:position w:val="0"/>
        <w:rtl w:val="0"/>
        <w:lang w:val="en-US"/>
      </w:rPr>
    </w:lvl>
    <w:lvl w:ilvl="2" w:tplc="9AA8C3E8">
      <w:start w:val="1"/>
      <w:numFmt w:val="bullet"/>
      <w:lvlText w:val="▪"/>
      <w:lvlJc w:val="left"/>
      <w:rPr>
        <w:position w:val="0"/>
        <w:rtl w:val="0"/>
        <w:lang w:val="en-US"/>
      </w:rPr>
    </w:lvl>
    <w:lvl w:ilvl="3" w:tplc="1BB2E940">
      <w:start w:val="1"/>
      <w:numFmt w:val="bullet"/>
      <w:lvlText w:val="•"/>
      <w:lvlJc w:val="left"/>
      <w:rPr>
        <w:position w:val="0"/>
        <w:rtl w:val="0"/>
        <w:lang w:val="en-US"/>
      </w:rPr>
    </w:lvl>
    <w:lvl w:ilvl="4" w:tplc="D7C89B40">
      <w:start w:val="1"/>
      <w:numFmt w:val="bullet"/>
      <w:lvlText w:val="o"/>
      <w:lvlJc w:val="left"/>
      <w:rPr>
        <w:position w:val="0"/>
        <w:rtl w:val="0"/>
        <w:lang w:val="en-US"/>
      </w:rPr>
    </w:lvl>
    <w:lvl w:ilvl="5" w:tplc="93D28DB6">
      <w:start w:val="1"/>
      <w:numFmt w:val="bullet"/>
      <w:lvlText w:val="▪"/>
      <w:lvlJc w:val="left"/>
      <w:rPr>
        <w:position w:val="0"/>
        <w:rtl w:val="0"/>
        <w:lang w:val="en-US"/>
      </w:rPr>
    </w:lvl>
    <w:lvl w:ilvl="6" w:tplc="00D8B99A">
      <w:start w:val="1"/>
      <w:numFmt w:val="bullet"/>
      <w:lvlText w:val="•"/>
      <w:lvlJc w:val="left"/>
      <w:rPr>
        <w:position w:val="0"/>
        <w:rtl w:val="0"/>
        <w:lang w:val="en-US"/>
      </w:rPr>
    </w:lvl>
    <w:lvl w:ilvl="7" w:tplc="C3B6B138">
      <w:start w:val="1"/>
      <w:numFmt w:val="bullet"/>
      <w:lvlText w:val="o"/>
      <w:lvlJc w:val="left"/>
      <w:rPr>
        <w:position w:val="0"/>
        <w:rtl w:val="0"/>
        <w:lang w:val="en-US"/>
      </w:rPr>
    </w:lvl>
    <w:lvl w:ilvl="8" w:tplc="48E29BBA">
      <w:start w:val="1"/>
      <w:numFmt w:val="bullet"/>
      <w:lvlText w:val="▪"/>
      <w:lvlJc w:val="left"/>
      <w:rPr>
        <w:position w:val="0"/>
        <w:rtl w:val="0"/>
        <w:lang w:val="en-US"/>
      </w:rPr>
    </w:lvl>
  </w:abstractNum>
  <w:abstractNum w:abstractNumId="19" w15:restartNumberingAfterBreak="0">
    <w:nsid w:val="55D108D2"/>
    <w:multiLevelType w:val="multilevel"/>
    <w:tmpl w:val="C45EE430"/>
    <w:lvl w:ilvl="0">
      <w:start w:val="1"/>
      <w:numFmt w:val="lowerLetter"/>
      <w:lvlText w:val="%1)"/>
      <w:lvlJc w:val="left"/>
      <w:pPr>
        <w:ind w:left="360" w:hanging="360"/>
      </w:pPr>
      <w:rPr>
        <w:rFonts w:hint="default"/>
        <w:b/>
        <w:i w:val="0"/>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BD96BF8"/>
    <w:multiLevelType w:val="hybridMultilevel"/>
    <w:tmpl w:val="CD18BEAA"/>
    <w:lvl w:ilvl="0" w:tplc="0456C4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4F1227"/>
    <w:multiLevelType w:val="hybridMultilevel"/>
    <w:tmpl w:val="2DE405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4F439E9"/>
    <w:multiLevelType w:val="hybridMultilevel"/>
    <w:tmpl w:val="D3027848"/>
    <w:styleLink w:val="List1"/>
    <w:lvl w:ilvl="0" w:tplc="BA0C05AC">
      <w:numFmt w:val="bullet"/>
      <w:lvlText w:val="•"/>
      <w:lvlJc w:val="left"/>
      <w:rPr>
        <w:position w:val="0"/>
        <w:rtl w:val="0"/>
        <w:lang w:val="en-US"/>
      </w:rPr>
    </w:lvl>
    <w:lvl w:ilvl="1" w:tplc="E6446F4E">
      <w:start w:val="1"/>
      <w:numFmt w:val="bullet"/>
      <w:lvlText w:val="o"/>
      <w:lvlJc w:val="left"/>
      <w:rPr>
        <w:position w:val="0"/>
        <w:rtl w:val="0"/>
        <w:lang w:val="en-US"/>
      </w:rPr>
    </w:lvl>
    <w:lvl w:ilvl="2" w:tplc="77CC5EC2">
      <w:start w:val="1"/>
      <w:numFmt w:val="bullet"/>
      <w:lvlText w:val="▪"/>
      <w:lvlJc w:val="left"/>
      <w:rPr>
        <w:position w:val="0"/>
        <w:rtl w:val="0"/>
        <w:lang w:val="en-US"/>
      </w:rPr>
    </w:lvl>
    <w:lvl w:ilvl="3" w:tplc="8DF0B850">
      <w:start w:val="1"/>
      <w:numFmt w:val="bullet"/>
      <w:lvlText w:val="•"/>
      <w:lvlJc w:val="left"/>
      <w:rPr>
        <w:position w:val="0"/>
        <w:rtl w:val="0"/>
        <w:lang w:val="en-US"/>
      </w:rPr>
    </w:lvl>
    <w:lvl w:ilvl="4" w:tplc="61461CB6">
      <w:start w:val="1"/>
      <w:numFmt w:val="bullet"/>
      <w:lvlText w:val="o"/>
      <w:lvlJc w:val="left"/>
      <w:rPr>
        <w:position w:val="0"/>
        <w:rtl w:val="0"/>
        <w:lang w:val="en-US"/>
      </w:rPr>
    </w:lvl>
    <w:lvl w:ilvl="5" w:tplc="F0FC9102">
      <w:start w:val="1"/>
      <w:numFmt w:val="bullet"/>
      <w:lvlText w:val="▪"/>
      <w:lvlJc w:val="left"/>
      <w:rPr>
        <w:position w:val="0"/>
        <w:rtl w:val="0"/>
        <w:lang w:val="en-US"/>
      </w:rPr>
    </w:lvl>
    <w:lvl w:ilvl="6" w:tplc="98B84AA6">
      <w:start w:val="1"/>
      <w:numFmt w:val="bullet"/>
      <w:lvlText w:val="•"/>
      <w:lvlJc w:val="left"/>
      <w:rPr>
        <w:position w:val="0"/>
        <w:rtl w:val="0"/>
        <w:lang w:val="en-US"/>
      </w:rPr>
    </w:lvl>
    <w:lvl w:ilvl="7" w:tplc="57AA7572">
      <w:start w:val="1"/>
      <w:numFmt w:val="bullet"/>
      <w:lvlText w:val="o"/>
      <w:lvlJc w:val="left"/>
      <w:rPr>
        <w:position w:val="0"/>
        <w:rtl w:val="0"/>
        <w:lang w:val="en-US"/>
      </w:rPr>
    </w:lvl>
    <w:lvl w:ilvl="8" w:tplc="0D42037C">
      <w:start w:val="1"/>
      <w:numFmt w:val="bullet"/>
      <w:lvlText w:val="▪"/>
      <w:lvlJc w:val="left"/>
      <w:rPr>
        <w:position w:val="0"/>
        <w:rtl w:val="0"/>
        <w:lang w:val="en-US"/>
      </w:rPr>
    </w:lvl>
  </w:abstractNum>
  <w:abstractNum w:abstractNumId="23" w15:restartNumberingAfterBreak="0">
    <w:nsid w:val="6E6568BB"/>
    <w:multiLevelType w:val="hybridMultilevel"/>
    <w:tmpl w:val="E27C6F86"/>
    <w:lvl w:ilvl="0" w:tplc="C1E4D216">
      <w:start w:val="1"/>
      <w:numFmt w:val="bullet"/>
      <w:lvlText w:val=""/>
      <w:lvlJc w:val="left"/>
      <w:pPr>
        <w:ind w:left="360" w:hanging="360"/>
      </w:pPr>
      <w:rPr>
        <w:rFonts w:ascii="Wingdings" w:hAnsi="Wingdings" w:hint="default"/>
      </w:rPr>
    </w:lvl>
    <w:lvl w:ilvl="1" w:tplc="4410AFD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ED373D7"/>
    <w:multiLevelType w:val="hybridMultilevel"/>
    <w:tmpl w:val="ABAA4B8E"/>
    <w:lvl w:ilvl="0" w:tplc="D5906E10">
      <w:start w:val="1"/>
      <w:numFmt w:val="decimal"/>
      <w:pStyle w:val="JANZSSANumbersItalics"/>
      <w:lvlText w:val="%1."/>
      <w:lvlJc w:val="left"/>
      <w:pPr>
        <w:ind w:left="644" w:hanging="360"/>
      </w:pPr>
      <w:rPr>
        <w:rFonts w:hint="default"/>
        <w:sz w:val="22"/>
        <w:szCs w:val="22"/>
      </w:rPr>
    </w:lvl>
    <w:lvl w:ilvl="1" w:tplc="0C090019">
      <w:start w:val="1"/>
      <w:numFmt w:val="lowerLetter"/>
      <w:pStyle w:val="JANZSSANumbersItalics"/>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21E4727"/>
    <w:multiLevelType w:val="hybridMultilevel"/>
    <w:tmpl w:val="F6BE6BD8"/>
    <w:lvl w:ilvl="0" w:tplc="0C09000F">
      <w:start w:val="5"/>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6" w15:restartNumberingAfterBreak="0">
    <w:nsid w:val="7AF5516F"/>
    <w:multiLevelType w:val="hybridMultilevel"/>
    <w:tmpl w:val="A6220774"/>
    <w:styleLink w:val="List21"/>
    <w:lvl w:ilvl="0" w:tplc="F566E1FA">
      <w:numFmt w:val="bullet"/>
      <w:lvlText w:val="•"/>
      <w:lvlJc w:val="left"/>
      <w:rPr>
        <w:position w:val="0"/>
        <w:rtl w:val="0"/>
        <w:lang w:val="en-US"/>
      </w:rPr>
    </w:lvl>
    <w:lvl w:ilvl="1" w:tplc="C2A25B0E">
      <w:start w:val="1"/>
      <w:numFmt w:val="bullet"/>
      <w:lvlText w:val="o"/>
      <w:lvlJc w:val="left"/>
      <w:rPr>
        <w:position w:val="0"/>
        <w:rtl w:val="0"/>
        <w:lang w:val="en-US"/>
      </w:rPr>
    </w:lvl>
    <w:lvl w:ilvl="2" w:tplc="92B22694">
      <w:start w:val="1"/>
      <w:numFmt w:val="bullet"/>
      <w:lvlText w:val="▪"/>
      <w:lvlJc w:val="left"/>
      <w:rPr>
        <w:position w:val="0"/>
        <w:rtl w:val="0"/>
        <w:lang w:val="en-US"/>
      </w:rPr>
    </w:lvl>
    <w:lvl w:ilvl="3" w:tplc="805484CE">
      <w:start w:val="1"/>
      <w:numFmt w:val="bullet"/>
      <w:lvlText w:val="•"/>
      <w:lvlJc w:val="left"/>
      <w:rPr>
        <w:position w:val="0"/>
        <w:rtl w:val="0"/>
        <w:lang w:val="en-US"/>
      </w:rPr>
    </w:lvl>
    <w:lvl w:ilvl="4" w:tplc="59B6F2C6">
      <w:start w:val="1"/>
      <w:numFmt w:val="bullet"/>
      <w:lvlText w:val="o"/>
      <w:lvlJc w:val="left"/>
      <w:rPr>
        <w:position w:val="0"/>
        <w:rtl w:val="0"/>
        <w:lang w:val="en-US"/>
      </w:rPr>
    </w:lvl>
    <w:lvl w:ilvl="5" w:tplc="38C42824">
      <w:start w:val="1"/>
      <w:numFmt w:val="bullet"/>
      <w:lvlText w:val="▪"/>
      <w:lvlJc w:val="left"/>
      <w:rPr>
        <w:position w:val="0"/>
        <w:rtl w:val="0"/>
        <w:lang w:val="en-US"/>
      </w:rPr>
    </w:lvl>
    <w:lvl w:ilvl="6" w:tplc="373C8A42">
      <w:start w:val="1"/>
      <w:numFmt w:val="bullet"/>
      <w:lvlText w:val="•"/>
      <w:lvlJc w:val="left"/>
      <w:rPr>
        <w:position w:val="0"/>
        <w:rtl w:val="0"/>
        <w:lang w:val="en-US"/>
      </w:rPr>
    </w:lvl>
    <w:lvl w:ilvl="7" w:tplc="8CD4378E">
      <w:start w:val="1"/>
      <w:numFmt w:val="bullet"/>
      <w:lvlText w:val="o"/>
      <w:lvlJc w:val="left"/>
      <w:rPr>
        <w:position w:val="0"/>
        <w:rtl w:val="0"/>
        <w:lang w:val="en-US"/>
      </w:rPr>
    </w:lvl>
    <w:lvl w:ilvl="8" w:tplc="99BC522A">
      <w:start w:val="1"/>
      <w:numFmt w:val="bullet"/>
      <w:lvlText w:val="▪"/>
      <w:lvlJc w:val="left"/>
      <w:rPr>
        <w:position w:val="0"/>
        <w:rtl w:val="0"/>
        <w:lang w:val="en-US"/>
      </w:rPr>
    </w:lvl>
  </w:abstractNum>
  <w:abstractNum w:abstractNumId="27" w15:restartNumberingAfterBreak="0">
    <w:nsid w:val="7C924FCB"/>
    <w:multiLevelType w:val="hybridMultilevel"/>
    <w:tmpl w:val="9AD42486"/>
    <w:lvl w:ilvl="0" w:tplc="9B00EE88">
      <w:start w:val="1"/>
      <w:numFmt w:val="bullet"/>
      <w:pStyle w:val="JANZSSA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8" w15:restartNumberingAfterBreak="0">
    <w:nsid w:val="7D17284E"/>
    <w:multiLevelType w:val="multilevel"/>
    <w:tmpl w:val="CA26CC8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372002316">
    <w:abstractNumId w:val="27"/>
  </w:num>
  <w:num w:numId="2" w16cid:durableId="1679963613">
    <w:abstractNumId w:val="9"/>
  </w:num>
  <w:num w:numId="3" w16cid:durableId="1800565170">
    <w:abstractNumId w:val="24"/>
  </w:num>
  <w:num w:numId="4" w16cid:durableId="974063284">
    <w:abstractNumId w:val="15"/>
  </w:num>
  <w:num w:numId="5" w16cid:durableId="1213931697">
    <w:abstractNumId w:val="22"/>
  </w:num>
  <w:num w:numId="6" w16cid:durableId="1845784250">
    <w:abstractNumId w:val="26"/>
  </w:num>
  <w:num w:numId="7" w16cid:durableId="1426803105">
    <w:abstractNumId w:val="18"/>
  </w:num>
  <w:num w:numId="8" w16cid:durableId="958342066">
    <w:abstractNumId w:val="10"/>
  </w:num>
  <w:num w:numId="9" w16cid:durableId="1550527431">
    <w:abstractNumId w:val="14"/>
  </w:num>
  <w:num w:numId="10" w16cid:durableId="1185482586">
    <w:abstractNumId w:val="20"/>
  </w:num>
  <w:num w:numId="11" w16cid:durableId="391926766">
    <w:abstractNumId w:val="23"/>
  </w:num>
  <w:num w:numId="12" w16cid:durableId="1012688062">
    <w:abstractNumId w:val="17"/>
  </w:num>
  <w:num w:numId="13" w16cid:durableId="647319649">
    <w:abstractNumId w:val="19"/>
  </w:num>
  <w:num w:numId="14" w16cid:durableId="2139370768">
    <w:abstractNumId w:val="3"/>
  </w:num>
  <w:num w:numId="15" w16cid:durableId="523791787">
    <w:abstractNumId w:val="5"/>
  </w:num>
  <w:num w:numId="16" w16cid:durableId="688483143">
    <w:abstractNumId w:val="7"/>
  </w:num>
  <w:num w:numId="17" w16cid:durableId="358896463">
    <w:abstractNumId w:val="6"/>
  </w:num>
  <w:num w:numId="18" w16cid:durableId="1217663866">
    <w:abstractNumId w:val="4"/>
  </w:num>
  <w:num w:numId="19" w16cid:durableId="2144418623">
    <w:abstractNumId w:val="16"/>
  </w:num>
  <w:num w:numId="20" w16cid:durableId="20923919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857155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51569403">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18868816">
    <w:abstractNumId w:val="8"/>
  </w:num>
  <w:num w:numId="24" w16cid:durableId="1554930161">
    <w:abstractNumId w:val="13"/>
  </w:num>
  <w:num w:numId="25" w16cid:durableId="350422164">
    <w:abstractNumId w:val="28"/>
  </w:num>
  <w:num w:numId="26" w16cid:durableId="84154463">
    <w:abstractNumId w:val="0"/>
  </w:num>
  <w:num w:numId="27" w16cid:durableId="1698385205">
    <w:abstractNumId w:val="4"/>
    <w:lvlOverride w:ilvl="0">
      <w:startOverride w:val="1"/>
    </w:lvlOverride>
  </w:num>
  <w:num w:numId="28" w16cid:durableId="210118120">
    <w:abstractNumId w:val="21"/>
  </w:num>
  <w:num w:numId="29" w16cid:durableId="1922330722">
    <w:abstractNumId w:val="1"/>
  </w:num>
  <w:num w:numId="30" w16cid:durableId="1961952744">
    <w:abstractNumId w:val="2"/>
  </w:num>
  <w:num w:numId="31" w16cid:durableId="420027249">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fr-FR" w:vendorID="64" w:dllVersion="6" w:nlCheck="1" w:checkStyle="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n-NZ"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en-NZ" w:vendorID="64" w:dllVersion="4096" w:nlCheck="1" w:checkStyle="0"/>
  <w:activeWritingStyle w:appName="MSWord" w:lang="en-GB" w:vendorID="64" w:dllVersion="4096" w:nlCheck="1" w:checkStyle="0"/>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en-IN" w:vendorID="64" w:dllVersion="0" w:nlCheck="1" w:checkStyle="0"/>
  <w:proofState w:spelling="clean" w:grammar="clean"/>
  <w:stylePaneFormatFilter w:val="1621" w:allStyles="1" w:customStyles="0" w:latentStyles="0" w:stylesInUse="0" w:headingStyles="1" w:numberingStyles="0" w:tableStyles="0" w:directFormattingOnRuns="0" w:directFormattingOnParagraphs="1" w:directFormattingOnNumbering="1" w:directFormattingOnTables="0" w:clearFormatting="1" w:top3HeadingStyles="0" w:visibleStyles="0" w:alternateStyleNames="0"/>
  <w:stylePaneSortMethod w:val="0004"/>
  <w:defaultTabStop w:val="720"/>
  <w:evenAndOddHeaders/>
  <w:drawingGridHorizontalSpacing w:val="100"/>
  <w:displayHorizontalDrawingGridEvery w:val="2"/>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nnotat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Libraries&gt;"/>
  </w:docVars>
  <w:rsids>
    <w:rsidRoot w:val="00265D66"/>
    <w:rsid w:val="00000799"/>
    <w:rsid w:val="00000828"/>
    <w:rsid w:val="00002639"/>
    <w:rsid w:val="0000300F"/>
    <w:rsid w:val="0000474A"/>
    <w:rsid w:val="00004CE0"/>
    <w:rsid w:val="00004CFE"/>
    <w:rsid w:val="00005A10"/>
    <w:rsid w:val="00005B89"/>
    <w:rsid w:val="00007937"/>
    <w:rsid w:val="00010656"/>
    <w:rsid w:val="00010F77"/>
    <w:rsid w:val="0001206D"/>
    <w:rsid w:val="00012629"/>
    <w:rsid w:val="00012A6E"/>
    <w:rsid w:val="000139EA"/>
    <w:rsid w:val="00014648"/>
    <w:rsid w:val="000148FF"/>
    <w:rsid w:val="0001568A"/>
    <w:rsid w:val="00015E35"/>
    <w:rsid w:val="0001733E"/>
    <w:rsid w:val="00017935"/>
    <w:rsid w:val="00020D1D"/>
    <w:rsid w:val="000229AA"/>
    <w:rsid w:val="00023E29"/>
    <w:rsid w:val="00024959"/>
    <w:rsid w:val="00024B0F"/>
    <w:rsid w:val="000257E0"/>
    <w:rsid w:val="00025E34"/>
    <w:rsid w:val="000264C3"/>
    <w:rsid w:val="00027425"/>
    <w:rsid w:val="00027D0A"/>
    <w:rsid w:val="00030463"/>
    <w:rsid w:val="00031E65"/>
    <w:rsid w:val="000326F9"/>
    <w:rsid w:val="00036889"/>
    <w:rsid w:val="00036B09"/>
    <w:rsid w:val="00036F78"/>
    <w:rsid w:val="00037D5D"/>
    <w:rsid w:val="000411ED"/>
    <w:rsid w:val="00043E2B"/>
    <w:rsid w:val="00044F5F"/>
    <w:rsid w:val="0004547B"/>
    <w:rsid w:val="00046381"/>
    <w:rsid w:val="000501F0"/>
    <w:rsid w:val="00052620"/>
    <w:rsid w:val="00053360"/>
    <w:rsid w:val="0005549E"/>
    <w:rsid w:val="00056908"/>
    <w:rsid w:val="00057AAA"/>
    <w:rsid w:val="00060689"/>
    <w:rsid w:val="00061765"/>
    <w:rsid w:val="000623AD"/>
    <w:rsid w:val="00062C2A"/>
    <w:rsid w:val="00063BDA"/>
    <w:rsid w:val="00064640"/>
    <w:rsid w:val="00067B6F"/>
    <w:rsid w:val="00073F96"/>
    <w:rsid w:val="00076361"/>
    <w:rsid w:val="000779F4"/>
    <w:rsid w:val="00080A7F"/>
    <w:rsid w:val="000829E6"/>
    <w:rsid w:val="00083C01"/>
    <w:rsid w:val="000842DF"/>
    <w:rsid w:val="00086F9E"/>
    <w:rsid w:val="0008735C"/>
    <w:rsid w:val="000877D7"/>
    <w:rsid w:val="00091781"/>
    <w:rsid w:val="00093C0A"/>
    <w:rsid w:val="000941C6"/>
    <w:rsid w:val="00095FBC"/>
    <w:rsid w:val="00096920"/>
    <w:rsid w:val="00096F85"/>
    <w:rsid w:val="000A0691"/>
    <w:rsid w:val="000A07D8"/>
    <w:rsid w:val="000A0E3F"/>
    <w:rsid w:val="000A3749"/>
    <w:rsid w:val="000A3937"/>
    <w:rsid w:val="000A3AB7"/>
    <w:rsid w:val="000A3E2B"/>
    <w:rsid w:val="000A5DC4"/>
    <w:rsid w:val="000A78FF"/>
    <w:rsid w:val="000B029F"/>
    <w:rsid w:val="000B0A8E"/>
    <w:rsid w:val="000B1623"/>
    <w:rsid w:val="000B2039"/>
    <w:rsid w:val="000B32CD"/>
    <w:rsid w:val="000B38AC"/>
    <w:rsid w:val="000B5205"/>
    <w:rsid w:val="000B6B72"/>
    <w:rsid w:val="000B7403"/>
    <w:rsid w:val="000B7E04"/>
    <w:rsid w:val="000C02B0"/>
    <w:rsid w:val="000C0C49"/>
    <w:rsid w:val="000C0FB5"/>
    <w:rsid w:val="000C1BFA"/>
    <w:rsid w:val="000C214C"/>
    <w:rsid w:val="000C3BA6"/>
    <w:rsid w:val="000C5212"/>
    <w:rsid w:val="000C579F"/>
    <w:rsid w:val="000C7AA4"/>
    <w:rsid w:val="000C7E87"/>
    <w:rsid w:val="000D0B49"/>
    <w:rsid w:val="000D56B6"/>
    <w:rsid w:val="000D6AEC"/>
    <w:rsid w:val="000D7A40"/>
    <w:rsid w:val="000E05AE"/>
    <w:rsid w:val="000E0AD0"/>
    <w:rsid w:val="000E1577"/>
    <w:rsid w:val="000E5088"/>
    <w:rsid w:val="000E6801"/>
    <w:rsid w:val="000E79F2"/>
    <w:rsid w:val="000F03BD"/>
    <w:rsid w:val="000F0A50"/>
    <w:rsid w:val="000F0DDF"/>
    <w:rsid w:val="000F132C"/>
    <w:rsid w:val="000F1805"/>
    <w:rsid w:val="000F1ED5"/>
    <w:rsid w:val="000F60D9"/>
    <w:rsid w:val="0010135B"/>
    <w:rsid w:val="00102A2F"/>
    <w:rsid w:val="00103260"/>
    <w:rsid w:val="00103A7E"/>
    <w:rsid w:val="00104130"/>
    <w:rsid w:val="001054A4"/>
    <w:rsid w:val="00105AA3"/>
    <w:rsid w:val="001104A5"/>
    <w:rsid w:val="001111F5"/>
    <w:rsid w:val="00111DF2"/>
    <w:rsid w:val="001121CA"/>
    <w:rsid w:val="00112366"/>
    <w:rsid w:val="00112981"/>
    <w:rsid w:val="00114746"/>
    <w:rsid w:val="00115C56"/>
    <w:rsid w:val="001161BD"/>
    <w:rsid w:val="00117477"/>
    <w:rsid w:val="00120AD7"/>
    <w:rsid w:val="00121BC7"/>
    <w:rsid w:val="00121C88"/>
    <w:rsid w:val="0012217E"/>
    <w:rsid w:val="00122A8E"/>
    <w:rsid w:val="00122DD3"/>
    <w:rsid w:val="00122FBD"/>
    <w:rsid w:val="00124614"/>
    <w:rsid w:val="001259F9"/>
    <w:rsid w:val="00126293"/>
    <w:rsid w:val="00126FB1"/>
    <w:rsid w:val="00130955"/>
    <w:rsid w:val="00130AC8"/>
    <w:rsid w:val="00131C86"/>
    <w:rsid w:val="0013302E"/>
    <w:rsid w:val="001338C7"/>
    <w:rsid w:val="001371C1"/>
    <w:rsid w:val="00137490"/>
    <w:rsid w:val="00140CD3"/>
    <w:rsid w:val="00143D40"/>
    <w:rsid w:val="0014562E"/>
    <w:rsid w:val="0014746F"/>
    <w:rsid w:val="00147A84"/>
    <w:rsid w:val="00152486"/>
    <w:rsid w:val="001547F2"/>
    <w:rsid w:val="0016012E"/>
    <w:rsid w:val="001609D7"/>
    <w:rsid w:val="00161B6D"/>
    <w:rsid w:val="001620F3"/>
    <w:rsid w:val="00164790"/>
    <w:rsid w:val="0016509E"/>
    <w:rsid w:val="00165386"/>
    <w:rsid w:val="001705CA"/>
    <w:rsid w:val="001743B5"/>
    <w:rsid w:val="00174F9D"/>
    <w:rsid w:val="00175403"/>
    <w:rsid w:val="00176032"/>
    <w:rsid w:val="00176F1D"/>
    <w:rsid w:val="00177ECC"/>
    <w:rsid w:val="0018422B"/>
    <w:rsid w:val="0018444E"/>
    <w:rsid w:val="001852A6"/>
    <w:rsid w:val="0018559E"/>
    <w:rsid w:val="00186F72"/>
    <w:rsid w:val="00191C34"/>
    <w:rsid w:val="00192809"/>
    <w:rsid w:val="00192A9B"/>
    <w:rsid w:val="0019448B"/>
    <w:rsid w:val="001947F1"/>
    <w:rsid w:val="00196760"/>
    <w:rsid w:val="001968EA"/>
    <w:rsid w:val="001969C5"/>
    <w:rsid w:val="001A21E9"/>
    <w:rsid w:val="001A2913"/>
    <w:rsid w:val="001A3A6C"/>
    <w:rsid w:val="001A40DA"/>
    <w:rsid w:val="001A4359"/>
    <w:rsid w:val="001A4E89"/>
    <w:rsid w:val="001A5596"/>
    <w:rsid w:val="001B0263"/>
    <w:rsid w:val="001B08CB"/>
    <w:rsid w:val="001B09EF"/>
    <w:rsid w:val="001B1F85"/>
    <w:rsid w:val="001B209B"/>
    <w:rsid w:val="001B239A"/>
    <w:rsid w:val="001B30E1"/>
    <w:rsid w:val="001B4175"/>
    <w:rsid w:val="001C0B3F"/>
    <w:rsid w:val="001C2F10"/>
    <w:rsid w:val="001C5539"/>
    <w:rsid w:val="001C5D22"/>
    <w:rsid w:val="001D0B2F"/>
    <w:rsid w:val="001D2ED0"/>
    <w:rsid w:val="001D2EDF"/>
    <w:rsid w:val="001D3AD5"/>
    <w:rsid w:val="001D3E81"/>
    <w:rsid w:val="001D4089"/>
    <w:rsid w:val="001D50D7"/>
    <w:rsid w:val="001D597E"/>
    <w:rsid w:val="001D6ACD"/>
    <w:rsid w:val="001D7FAD"/>
    <w:rsid w:val="001D7FD4"/>
    <w:rsid w:val="001E09ED"/>
    <w:rsid w:val="001E1301"/>
    <w:rsid w:val="001E1DE5"/>
    <w:rsid w:val="001E2815"/>
    <w:rsid w:val="001E29E5"/>
    <w:rsid w:val="001E2BBE"/>
    <w:rsid w:val="001E380B"/>
    <w:rsid w:val="001E3B97"/>
    <w:rsid w:val="001E3E1C"/>
    <w:rsid w:val="001E419F"/>
    <w:rsid w:val="001E5C48"/>
    <w:rsid w:val="001F2C26"/>
    <w:rsid w:val="001F39E0"/>
    <w:rsid w:val="001F561D"/>
    <w:rsid w:val="001F737B"/>
    <w:rsid w:val="0020217A"/>
    <w:rsid w:val="00202187"/>
    <w:rsid w:val="002022FE"/>
    <w:rsid w:val="00204302"/>
    <w:rsid w:val="00204C60"/>
    <w:rsid w:val="00205CFE"/>
    <w:rsid w:val="00206F8D"/>
    <w:rsid w:val="00207B48"/>
    <w:rsid w:val="00207C35"/>
    <w:rsid w:val="00214E9E"/>
    <w:rsid w:val="00221BAC"/>
    <w:rsid w:val="00222B1B"/>
    <w:rsid w:val="00223322"/>
    <w:rsid w:val="00223ED5"/>
    <w:rsid w:val="002241C7"/>
    <w:rsid w:val="0022564E"/>
    <w:rsid w:val="00226E60"/>
    <w:rsid w:val="002275C5"/>
    <w:rsid w:val="00227E3E"/>
    <w:rsid w:val="00227E9A"/>
    <w:rsid w:val="00227F1D"/>
    <w:rsid w:val="00230079"/>
    <w:rsid w:val="002307A9"/>
    <w:rsid w:val="002310F9"/>
    <w:rsid w:val="00232B8B"/>
    <w:rsid w:val="00233251"/>
    <w:rsid w:val="00233DFF"/>
    <w:rsid w:val="002353F9"/>
    <w:rsid w:val="00240D8B"/>
    <w:rsid w:val="002419CE"/>
    <w:rsid w:val="002422B6"/>
    <w:rsid w:val="00244275"/>
    <w:rsid w:val="0024478D"/>
    <w:rsid w:val="00246361"/>
    <w:rsid w:val="00246DF2"/>
    <w:rsid w:val="0025052C"/>
    <w:rsid w:val="0025072D"/>
    <w:rsid w:val="0025091C"/>
    <w:rsid w:val="00250D52"/>
    <w:rsid w:val="00254162"/>
    <w:rsid w:val="00254D16"/>
    <w:rsid w:val="0025613B"/>
    <w:rsid w:val="00256F72"/>
    <w:rsid w:val="00257B89"/>
    <w:rsid w:val="002609A6"/>
    <w:rsid w:val="00260E5F"/>
    <w:rsid w:val="00262C70"/>
    <w:rsid w:val="00264F3C"/>
    <w:rsid w:val="00265D66"/>
    <w:rsid w:val="00270C2D"/>
    <w:rsid w:val="00271BE1"/>
    <w:rsid w:val="00272125"/>
    <w:rsid w:val="00273196"/>
    <w:rsid w:val="00273FC8"/>
    <w:rsid w:val="002748B9"/>
    <w:rsid w:val="00274AF8"/>
    <w:rsid w:val="00274B74"/>
    <w:rsid w:val="00275A1D"/>
    <w:rsid w:val="0027615A"/>
    <w:rsid w:val="00276992"/>
    <w:rsid w:val="002771FD"/>
    <w:rsid w:val="002772F9"/>
    <w:rsid w:val="00280385"/>
    <w:rsid w:val="00281A70"/>
    <w:rsid w:val="00285E81"/>
    <w:rsid w:val="00287EF6"/>
    <w:rsid w:val="00290D34"/>
    <w:rsid w:val="00290FDC"/>
    <w:rsid w:val="002937F0"/>
    <w:rsid w:val="00294932"/>
    <w:rsid w:val="00295363"/>
    <w:rsid w:val="00297BCE"/>
    <w:rsid w:val="002A0932"/>
    <w:rsid w:val="002A2371"/>
    <w:rsid w:val="002A3029"/>
    <w:rsid w:val="002A341E"/>
    <w:rsid w:val="002A3CBA"/>
    <w:rsid w:val="002A5E42"/>
    <w:rsid w:val="002A6155"/>
    <w:rsid w:val="002A6180"/>
    <w:rsid w:val="002A6663"/>
    <w:rsid w:val="002A6C0A"/>
    <w:rsid w:val="002A7BB7"/>
    <w:rsid w:val="002A7BC3"/>
    <w:rsid w:val="002B01DC"/>
    <w:rsid w:val="002B0419"/>
    <w:rsid w:val="002B0A68"/>
    <w:rsid w:val="002B135A"/>
    <w:rsid w:val="002B3CC5"/>
    <w:rsid w:val="002B550F"/>
    <w:rsid w:val="002C1392"/>
    <w:rsid w:val="002C3219"/>
    <w:rsid w:val="002C36FC"/>
    <w:rsid w:val="002C4474"/>
    <w:rsid w:val="002C4ECE"/>
    <w:rsid w:val="002C7117"/>
    <w:rsid w:val="002D28D5"/>
    <w:rsid w:val="002D412D"/>
    <w:rsid w:val="002D477D"/>
    <w:rsid w:val="002D47AD"/>
    <w:rsid w:val="002E0694"/>
    <w:rsid w:val="002E1A63"/>
    <w:rsid w:val="002E1DA1"/>
    <w:rsid w:val="002E4D48"/>
    <w:rsid w:val="002E6680"/>
    <w:rsid w:val="002E66D1"/>
    <w:rsid w:val="002F0230"/>
    <w:rsid w:val="002F0C99"/>
    <w:rsid w:val="002F0CB5"/>
    <w:rsid w:val="002F2745"/>
    <w:rsid w:val="002F288D"/>
    <w:rsid w:val="002F4C6B"/>
    <w:rsid w:val="002F4F15"/>
    <w:rsid w:val="002F512A"/>
    <w:rsid w:val="002F55A8"/>
    <w:rsid w:val="002F55D0"/>
    <w:rsid w:val="002F766F"/>
    <w:rsid w:val="00300F33"/>
    <w:rsid w:val="00301E88"/>
    <w:rsid w:val="00303F96"/>
    <w:rsid w:val="0030499D"/>
    <w:rsid w:val="00306620"/>
    <w:rsid w:val="00307CC0"/>
    <w:rsid w:val="00316C91"/>
    <w:rsid w:val="00317BEF"/>
    <w:rsid w:val="0032178A"/>
    <w:rsid w:val="0032203B"/>
    <w:rsid w:val="00325368"/>
    <w:rsid w:val="003279C1"/>
    <w:rsid w:val="003321EF"/>
    <w:rsid w:val="003325C5"/>
    <w:rsid w:val="0033328A"/>
    <w:rsid w:val="0033333B"/>
    <w:rsid w:val="00333D5E"/>
    <w:rsid w:val="00334C26"/>
    <w:rsid w:val="00335CE0"/>
    <w:rsid w:val="00336C1B"/>
    <w:rsid w:val="003376A3"/>
    <w:rsid w:val="0034146A"/>
    <w:rsid w:val="0034160D"/>
    <w:rsid w:val="0034349D"/>
    <w:rsid w:val="003450EB"/>
    <w:rsid w:val="00347463"/>
    <w:rsid w:val="00347FB6"/>
    <w:rsid w:val="00350608"/>
    <w:rsid w:val="0035152B"/>
    <w:rsid w:val="00355346"/>
    <w:rsid w:val="003561BD"/>
    <w:rsid w:val="00357324"/>
    <w:rsid w:val="00361978"/>
    <w:rsid w:val="00362FA9"/>
    <w:rsid w:val="00364E17"/>
    <w:rsid w:val="0036547B"/>
    <w:rsid w:val="00367700"/>
    <w:rsid w:val="00371202"/>
    <w:rsid w:val="00372460"/>
    <w:rsid w:val="00372F9C"/>
    <w:rsid w:val="00373D92"/>
    <w:rsid w:val="0037796F"/>
    <w:rsid w:val="00380203"/>
    <w:rsid w:val="00380AD1"/>
    <w:rsid w:val="003821D1"/>
    <w:rsid w:val="003840DC"/>
    <w:rsid w:val="00385864"/>
    <w:rsid w:val="003859A5"/>
    <w:rsid w:val="003868AB"/>
    <w:rsid w:val="003900E3"/>
    <w:rsid w:val="00390140"/>
    <w:rsid w:val="00393122"/>
    <w:rsid w:val="003932D4"/>
    <w:rsid w:val="003937A8"/>
    <w:rsid w:val="003937D3"/>
    <w:rsid w:val="00394A7E"/>
    <w:rsid w:val="003958A3"/>
    <w:rsid w:val="003958A6"/>
    <w:rsid w:val="00396A2A"/>
    <w:rsid w:val="00396B68"/>
    <w:rsid w:val="003A1433"/>
    <w:rsid w:val="003A1FA6"/>
    <w:rsid w:val="003A22D0"/>
    <w:rsid w:val="003A2CE2"/>
    <w:rsid w:val="003A3999"/>
    <w:rsid w:val="003A4192"/>
    <w:rsid w:val="003A592C"/>
    <w:rsid w:val="003A70B1"/>
    <w:rsid w:val="003A73F7"/>
    <w:rsid w:val="003A7CF0"/>
    <w:rsid w:val="003B0874"/>
    <w:rsid w:val="003B0E4D"/>
    <w:rsid w:val="003B2135"/>
    <w:rsid w:val="003B4A61"/>
    <w:rsid w:val="003C099F"/>
    <w:rsid w:val="003C0C7F"/>
    <w:rsid w:val="003C126B"/>
    <w:rsid w:val="003C238D"/>
    <w:rsid w:val="003C25F8"/>
    <w:rsid w:val="003C3DB1"/>
    <w:rsid w:val="003C4122"/>
    <w:rsid w:val="003C4AEA"/>
    <w:rsid w:val="003C4FD6"/>
    <w:rsid w:val="003C5395"/>
    <w:rsid w:val="003C6374"/>
    <w:rsid w:val="003D38F5"/>
    <w:rsid w:val="003D3C9B"/>
    <w:rsid w:val="003D3D22"/>
    <w:rsid w:val="003D4236"/>
    <w:rsid w:val="003D47F3"/>
    <w:rsid w:val="003D51CA"/>
    <w:rsid w:val="003D61AA"/>
    <w:rsid w:val="003D64B6"/>
    <w:rsid w:val="003D66ED"/>
    <w:rsid w:val="003D72A7"/>
    <w:rsid w:val="003E1019"/>
    <w:rsid w:val="003E1291"/>
    <w:rsid w:val="003E2C47"/>
    <w:rsid w:val="003E3350"/>
    <w:rsid w:val="003E3E3B"/>
    <w:rsid w:val="003E446B"/>
    <w:rsid w:val="003E48D7"/>
    <w:rsid w:val="003E5FB2"/>
    <w:rsid w:val="003E6D37"/>
    <w:rsid w:val="003F030D"/>
    <w:rsid w:val="003F0493"/>
    <w:rsid w:val="003F2AD6"/>
    <w:rsid w:val="003F4138"/>
    <w:rsid w:val="003F504A"/>
    <w:rsid w:val="003F5672"/>
    <w:rsid w:val="003F5E34"/>
    <w:rsid w:val="003F60A8"/>
    <w:rsid w:val="003F6BD1"/>
    <w:rsid w:val="003F72B9"/>
    <w:rsid w:val="003F7DAA"/>
    <w:rsid w:val="00401128"/>
    <w:rsid w:val="004012DE"/>
    <w:rsid w:val="0040328B"/>
    <w:rsid w:val="004048FE"/>
    <w:rsid w:val="00405547"/>
    <w:rsid w:val="004058EA"/>
    <w:rsid w:val="00406391"/>
    <w:rsid w:val="00406C10"/>
    <w:rsid w:val="00407862"/>
    <w:rsid w:val="00411FF8"/>
    <w:rsid w:val="00414AB6"/>
    <w:rsid w:val="00415E02"/>
    <w:rsid w:val="0041624E"/>
    <w:rsid w:val="00416522"/>
    <w:rsid w:val="004167FD"/>
    <w:rsid w:val="00416FCA"/>
    <w:rsid w:val="00417637"/>
    <w:rsid w:val="0041766C"/>
    <w:rsid w:val="0042084A"/>
    <w:rsid w:val="00421391"/>
    <w:rsid w:val="004221E4"/>
    <w:rsid w:val="00423E25"/>
    <w:rsid w:val="004240C2"/>
    <w:rsid w:val="004248F1"/>
    <w:rsid w:val="00424EB3"/>
    <w:rsid w:val="00425458"/>
    <w:rsid w:val="00426AD3"/>
    <w:rsid w:val="00427D05"/>
    <w:rsid w:val="004322BF"/>
    <w:rsid w:val="0043322D"/>
    <w:rsid w:val="004333D0"/>
    <w:rsid w:val="00437334"/>
    <w:rsid w:val="00437A95"/>
    <w:rsid w:val="00442F78"/>
    <w:rsid w:val="004431D6"/>
    <w:rsid w:val="00445F9A"/>
    <w:rsid w:val="0044702F"/>
    <w:rsid w:val="0044709B"/>
    <w:rsid w:val="00450241"/>
    <w:rsid w:val="0045059E"/>
    <w:rsid w:val="0045115D"/>
    <w:rsid w:val="004537F5"/>
    <w:rsid w:val="0045432D"/>
    <w:rsid w:val="004564E1"/>
    <w:rsid w:val="004568DA"/>
    <w:rsid w:val="0045796E"/>
    <w:rsid w:val="004613F8"/>
    <w:rsid w:val="004627CB"/>
    <w:rsid w:val="00464D17"/>
    <w:rsid w:val="00465A54"/>
    <w:rsid w:val="00467B48"/>
    <w:rsid w:val="00470D33"/>
    <w:rsid w:val="0047108B"/>
    <w:rsid w:val="00473459"/>
    <w:rsid w:val="00473586"/>
    <w:rsid w:val="00476663"/>
    <w:rsid w:val="00477E8E"/>
    <w:rsid w:val="004828F3"/>
    <w:rsid w:val="00482C01"/>
    <w:rsid w:val="00482CC9"/>
    <w:rsid w:val="00483955"/>
    <w:rsid w:val="00484147"/>
    <w:rsid w:val="00484516"/>
    <w:rsid w:val="00484E49"/>
    <w:rsid w:val="0048554D"/>
    <w:rsid w:val="004857C7"/>
    <w:rsid w:val="004857E5"/>
    <w:rsid w:val="00486062"/>
    <w:rsid w:val="004861C3"/>
    <w:rsid w:val="004871E8"/>
    <w:rsid w:val="004911B9"/>
    <w:rsid w:val="00491933"/>
    <w:rsid w:val="00491E0A"/>
    <w:rsid w:val="004929D1"/>
    <w:rsid w:val="00492A6C"/>
    <w:rsid w:val="00492D5B"/>
    <w:rsid w:val="00493BEC"/>
    <w:rsid w:val="004945A6"/>
    <w:rsid w:val="004959EC"/>
    <w:rsid w:val="00496591"/>
    <w:rsid w:val="00496834"/>
    <w:rsid w:val="004A17E0"/>
    <w:rsid w:val="004A36BE"/>
    <w:rsid w:val="004A3F82"/>
    <w:rsid w:val="004A485B"/>
    <w:rsid w:val="004A65C5"/>
    <w:rsid w:val="004A6B56"/>
    <w:rsid w:val="004B02F4"/>
    <w:rsid w:val="004B08AE"/>
    <w:rsid w:val="004B0A23"/>
    <w:rsid w:val="004B15B0"/>
    <w:rsid w:val="004B1967"/>
    <w:rsid w:val="004B1C03"/>
    <w:rsid w:val="004B2BB2"/>
    <w:rsid w:val="004B4130"/>
    <w:rsid w:val="004B4456"/>
    <w:rsid w:val="004B47B6"/>
    <w:rsid w:val="004B47E8"/>
    <w:rsid w:val="004B51D6"/>
    <w:rsid w:val="004B780C"/>
    <w:rsid w:val="004C0D88"/>
    <w:rsid w:val="004C41DD"/>
    <w:rsid w:val="004C6263"/>
    <w:rsid w:val="004C7836"/>
    <w:rsid w:val="004C7DD8"/>
    <w:rsid w:val="004D3CDF"/>
    <w:rsid w:val="004D45E8"/>
    <w:rsid w:val="004D4C0F"/>
    <w:rsid w:val="004D5335"/>
    <w:rsid w:val="004D5510"/>
    <w:rsid w:val="004D5664"/>
    <w:rsid w:val="004D61BB"/>
    <w:rsid w:val="004D7915"/>
    <w:rsid w:val="004E004D"/>
    <w:rsid w:val="004E1E9A"/>
    <w:rsid w:val="004E3D05"/>
    <w:rsid w:val="004E4BA2"/>
    <w:rsid w:val="004E540F"/>
    <w:rsid w:val="004E61C9"/>
    <w:rsid w:val="004F2016"/>
    <w:rsid w:val="00500399"/>
    <w:rsid w:val="00500C2E"/>
    <w:rsid w:val="00500E00"/>
    <w:rsid w:val="00501E98"/>
    <w:rsid w:val="0050213D"/>
    <w:rsid w:val="00506EB9"/>
    <w:rsid w:val="00510C23"/>
    <w:rsid w:val="00510DD5"/>
    <w:rsid w:val="005114BA"/>
    <w:rsid w:val="00512E9C"/>
    <w:rsid w:val="005143C7"/>
    <w:rsid w:val="00517571"/>
    <w:rsid w:val="00517A51"/>
    <w:rsid w:val="00520016"/>
    <w:rsid w:val="00521720"/>
    <w:rsid w:val="005219CB"/>
    <w:rsid w:val="00522748"/>
    <w:rsid w:val="00522CE7"/>
    <w:rsid w:val="00523F97"/>
    <w:rsid w:val="00525B26"/>
    <w:rsid w:val="00526003"/>
    <w:rsid w:val="00527507"/>
    <w:rsid w:val="0053118D"/>
    <w:rsid w:val="00531669"/>
    <w:rsid w:val="005346AA"/>
    <w:rsid w:val="00535A88"/>
    <w:rsid w:val="005420A2"/>
    <w:rsid w:val="0054273B"/>
    <w:rsid w:val="005431FB"/>
    <w:rsid w:val="00543A0C"/>
    <w:rsid w:val="0054421F"/>
    <w:rsid w:val="00545F29"/>
    <w:rsid w:val="00546575"/>
    <w:rsid w:val="00546DF1"/>
    <w:rsid w:val="00546DF4"/>
    <w:rsid w:val="005477A0"/>
    <w:rsid w:val="005525B5"/>
    <w:rsid w:val="0055501C"/>
    <w:rsid w:val="00555295"/>
    <w:rsid w:val="005553EC"/>
    <w:rsid w:val="00555803"/>
    <w:rsid w:val="00556F06"/>
    <w:rsid w:val="00560A67"/>
    <w:rsid w:val="00561D0F"/>
    <w:rsid w:val="00562306"/>
    <w:rsid w:val="00562889"/>
    <w:rsid w:val="005633E0"/>
    <w:rsid w:val="0056634B"/>
    <w:rsid w:val="005675C2"/>
    <w:rsid w:val="00570CD1"/>
    <w:rsid w:val="005719CF"/>
    <w:rsid w:val="00571F4B"/>
    <w:rsid w:val="00573F86"/>
    <w:rsid w:val="00574210"/>
    <w:rsid w:val="00574DB8"/>
    <w:rsid w:val="00574FF4"/>
    <w:rsid w:val="00575240"/>
    <w:rsid w:val="00576565"/>
    <w:rsid w:val="005775EB"/>
    <w:rsid w:val="005777DF"/>
    <w:rsid w:val="00577856"/>
    <w:rsid w:val="005778BA"/>
    <w:rsid w:val="005778C3"/>
    <w:rsid w:val="00577F00"/>
    <w:rsid w:val="005801BD"/>
    <w:rsid w:val="005802E9"/>
    <w:rsid w:val="005825AF"/>
    <w:rsid w:val="00583CBD"/>
    <w:rsid w:val="00591646"/>
    <w:rsid w:val="00592121"/>
    <w:rsid w:val="00592490"/>
    <w:rsid w:val="00592BA5"/>
    <w:rsid w:val="0059311D"/>
    <w:rsid w:val="00593189"/>
    <w:rsid w:val="0059657E"/>
    <w:rsid w:val="00596ECA"/>
    <w:rsid w:val="005A0368"/>
    <w:rsid w:val="005A07C6"/>
    <w:rsid w:val="005A1524"/>
    <w:rsid w:val="005A192E"/>
    <w:rsid w:val="005A505A"/>
    <w:rsid w:val="005A56C8"/>
    <w:rsid w:val="005A6B23"/>
    <w:rsid w:val="005A6DDB"/>
    <w:rsid w:val="005B018F"/>
    <w:rsid w:val="005B0EA7"/>
    <w:rsid w:val="005B0EFE"/>
    <w:rsid w:val="005B2114"/>
    <w:rsid w:val="005B42F7"/>
    <w:rsid w:val="005B4A17"/>
    <w:rsid w:val="005B581F"/>
    <w:rsid w:val="005B59B6"/>
    <w:rsid w:val="005B5BB2"/>
    <w:rsid w:val="005B5CB7"/>
    <w:rsid w:val="005B6164"/>
    <w:rsid w:val="005B6516"/>
    <w:rsid w:val="005C0126"/>
    <w:rsid w:val="005C026D"/>
    <w:rsid w:val="005C0635"/>
    <w:rsid w:val="005C090B"/>
    <w:rsid w:val="005C093E"/>
    <w:rsid w:val="005C09DD"/>
    <w:rsid w:val="005C2ED8"/>
    <w:rsid w:val="005C4B3C"/>
    <w:rsid w:val="005C4FC7"/>
    <w:rsid w:val="005C5B71"/>
    <w:rsid w:val="005C619F"/>
    <w:rsid w:val="005C7179"/>
    <w:rsid w:val="005C7D15"/>
    <w:rsid w:val="005D1E3C"/>
    <w:rsid w:val="005D39FA"/>
    <w:rsid w:val="005D3F38"/>
    <w:rsid w:val="005D450D"/>
    <w:rsid w:val="005D6687"/>
    <w:rsid w:val="005D7DFD"/>
    <w:rsid w:val="005D7FA3"/>
    <w:rsid w:val="005E04E4"/>
    <w:rsid w:val="005E0DD0"/>
    <w:rsid w:val="005E3815"/>
    <w:rsid w:val="005E45B9"/>
    <w:rsid w:val="005E468B"/>
    <w:rsid w:val="005E4D50"/>
    <w:rsid w:val="005E6F77"/>
    <w:rsid w:val="005E6FDF"/>
    <w:rsid w:val="005E739C"/>
    <w:rsid w:val="005E7617"/>
    <w:rsid w:val="005F091B"/>
    <w:rsid w:val="005F1652"/>
    <w:rsid w:val="005F31DD"/>
    <w:rsid w:val="005F36DB"/>
    <w:rsid w:val="005F3B73"/>
    <w:rsid w:val="005F3EE8"/>
    <w:rsid w:val="005F41CA"/>
    <w:rsid w:val="005F7D19"/>
    <w:rsid w:val="00601A13"/>
    <w:rsid w:val="00603FD7"/>
    <w:rsid w:val="00604C79"/>
    <w:rsid w:val="00605AE0"/>
    <w:rsid w:val="0061013E"/>
    <w:rsid w:val="00613467"/>
    <w:rsid w:val="00614F4F"/>
    <w:rsid w:val="00616F91"/>
    <w:rsid w:val="00617768"/>
    <w:rsid w:val="00617FF0"/>
    <w:rsid w:val="006203CC"/>
    <w:rsid w:val="0062075B"/>
    <w:rsid w:val="00624774"/>
    <w:rsid w:val="00624B01"/>
    <w:rsid w:val="006250C6"/>
    <w:rsid w:val="006258C4"/>
    <w:rsid w:val="006261DD"/>
    <w:rsid w:val="00627702"/>
    <w:rsid w:val="0063180C"/>
    <w:rsid w:val="00633B97"/>
    <w:rsid w:val="00633DAD"/>
    <w:rsid w:val="00635359"/>
    <w:rsid w:val="00635CC3"/>
    <w:rsid w:val="00635DE1"/>
    <w:rsid w:val="00635F1E"/>
    <w:rsid w:val="00637135"/>
    <w:rsid w:val="00640E96"/>
    <w:rsid w:val="00641369"/>
    <w:rsid w:val="006426D0"/>
    <w:rsid w:val="00642E6F"/>
    <w:rsid w:val="006430D0"/>
    <w:rsid w:val="0064410C"/>
    <w:rsid w:val="006455C8"/>
    <w:rsid w:val="00646C0D"/>
    <w:rsid w:val="00646FB7"/>
    <w:rsid w:val="006476FB"/>
    <w:rsid w:val="00650E81"/>
    <w:rsid w:val="006525EB"/>
    <w:rsid w:val="00652D96"/>
    <w:rsid w:val="006541A1"/>
    <w:rsid w:val="006544D4"/>
    <w:rsid w:val="006549E1"/>
    <w:rsid w:val="00661712"/>
    <w:rsid w:val="00661A45"/>
    <w:rsid w:val="006627BF"/>
    <w:rsid w:val="00663242"/>
    <w:rsid w:val="00664476"/>
    <w:rsid w:val="00665D2B"/>
    <w:rsid w:val="00666CEF"/>
    <w:rsid w:val="00667072"/>
    <w:rsid w:val="00667120"/>
    <w:rsid w:val="0066742F"/>
    <w:rsid w:val="00673270"/>
    <w:rsid w:val="00673471"/>
    <w:rsid w:val="00675037"/>
    <w:rsid w:val="006761A0"/>
    <w:rsid w:val="00677A8C"/>
    <w:rsid w:val="00680E69"/>
    <w:rsid w:val="00682618"/>
    <w:rsid w:val="00682B18"/>
    <w:rsid w:val="00683B3B"/>
    <w:rsid w:val="00683D43"/>
    <w:rsid w:val="0068403E"/>
    <w:rsid w:val="00686C9C"/>
    <w:rsid w:val="0068721D"/>
    <w:rsid w:val="0069250C"/>
    <w:rsid w:val="00693597"/>
    <w:rsid w:val="006936EB"/>
    <w:rsid w:val="0069517E"/>
    <w:rsid w:val="00696C0C"/>
    <w:rsid w:val="00697AE9"/>
    <w:rsid w:val="00697E0F"/>
    <w:rsid w:val="006A0AF4"/>
    <w:rsid w:val="006A0C0A"/>
    <w:rsid w:val="006A17BD"/>
    <w:rsid w:val="006A74D0"/>
    <w:rsid w:val="006B04F3"/>
    <w:rsid w:val="006B0CEF"/>
    <w:rsid w:val="006B1BC5"/>
    <w:rsid w:val="006B220C"/>
    <w:rsid w:val="006B27EB"/>
    <w:rsid w:val="006B3FF2"/>
    <w:rsid w:val="006B47DE"/>
    <w:rsid w:val="006B5A23"/>
    <w:rsid w:val="006B5E77"/>
    <w:rsid w:val="006B66D1"/>
    <w:rsid w:val="006B705F"/>
    <w:rsid w:val="006C3A07"/>
    <w:rsid w:val="006C58EC"/>
    <w:rsid w:val="006C6344"/>
    <w:rsid w:val="006C750A"/>
    <w:rsid w:val="006D059D"/>
    <w:rsid w:val="006D1256"/>
    <w:rsid w:val="006D171B"/>
    <w:rsid w:val="006D2C9F"/>
    <w:rsid w:val="006D2CC2"/>
    <w:rsid w:val="006D3BB5"/>
    <w:rsid w:val="006D3E2A"/>
    <w:rsid w:val="006E2F3C"/>
    <w:rsid w:val="006E49AD"/>
    <w:rsid w:val="006E5C54"/>
    <w:rsid w:val="006F13C0"/>
    <w:rsid w:val="006F2FA3"/>
    <w:rsid w:val="006F4E9F"/>
    <w:rsid w:val="006F58E5"/>
    <w:rsid w:val="006F5AE7"/>
    <w:rsid w:val="006F7127"/>
    <w:rsid w:val="0070006A"/>
    <w:rsid w:val="00700312"/>
    <w:rsid w:val="00701E76"/>
    <w:rsid w:val="007030E5"/>
    <w:rsid w:val="007032D6"/>
    <w:rsid w:val="00704B6B"/>
    <w:rsid w:val="007057CE"/>
    <w:rsid w:val="007076AC"/>
    <w:rsid w:val="00707B17"/>
    <w:rsid w:val="00711C26"/>
    <w:rsid w:val="00712312"/>
    <w:rsid w:val="007132EF"/>
    <w:rsid w:val="00713B7B"/>
    <w:rsid w:val="00714DFE"/>
    <w:rsid w:val="007150D2"/>
    <w:rsid w:val="00716B61"/>
    <w:rsid w:val="00720C2D"/>
    <w:rsid w:val="007215C3"/>
    <w:rsid w:val="00721B3F"/>
    <w:rsid w:val="007236E6"/>
    <w:rsid w:val="00724247"/>
    <w:rsid w:val="00724940"/>
    <w:rsid w:val="007256C8"/>
    <w:rsid w:val="00725F04"/>
    <w:rsid w:val="0073021A"/>
    <w:rsid w:val="007304F7"/>
    <w:rsid w:val="007305E6"/>
    <w:rsid w:val="007329D7"/>
    <w:rsid w:val="0073353A"/>
    <w:rsid w:val="0073538B"/>
    <w:rsid w:val="007373CB"/>
    <w:rsid w:val="007375BE"/>
    <w:rsid w:val="00740175"/>
    <w:rsid w:val="00740C30"/>
    <w:rsid w:val="00740C39"/>
    <w:rsid w:val="007411D4"/>
    <w:rsid w:val="00741668"/>
    <w:rsid w:val="007417EB"/>
    <w:rsid w:val="00741B95"/>
    <w:rsid w:val="007423A3"/>
    <w:rsid w:val="00742F82"/>
    <w:rsid w:val="00743238"/>
    <w:rsid w:val="00743B14"/>
    <w:rsid w:val="0074531C"/>
    <w:rsid w:val="00746528"/>
    <w:rsid w:val="00746D1A"/>
    <w:rsid w:val="007503B5"/>
    <w:rsid w:val="00752A26"/>
    <w:rsid w:val="00753F9C"/>
    <w:rsid w:val="007541BF"/>
    <w:rsid w:val="00754679"/>
    <w:rsid w:val="00755EAB"/>
    <w:rsid w:val="007570EA"/>
    <w:rsid w:val="00760380"/>
    <w:rsid w:val="007617E9"/>
    <w:rsid w:val="007619E8"/>
    <w:rsid w:val="00761DBA"/>
    <w:rsid w:val="0076275A"/>
    <w:rsid w:val="00762911"/>
    <w:rsid w:val="0076316B"/>
    <w:rsid w:val="00763A62"/>
    <w:rsid w:val="00766680"/>
    <w:rsid w:val="00766B69"/>
    <w:rsid w:val="00767578"/>
    <w:rsid w:val="0077004B"/>
    <w:rsid w:val="007712D9"/>
    <w:rsid w:val="00771F30"/>
    <w:rsid w:val="00773595"/>
    <w:rsid w:val="00773D34"/>
    <w:rsid w:val="00773D5A"/>
    <w:rsid w:val="0077425B"/>
    <w:rsid w:val="00776DF0"/>
    <w:rsid w:val="007776E2"/>
    <w:rsid w:val="00781B9F"/>
    <w:rsid w:val="00781E73"/>
    <w:rsid w:val="007823DA"/>
    <w:rsid w:val="00785F4C"/>
    <w:rsid w:val="00786107"/>
    <w:rsid w:val="00787363"/>
    <w:rsid w:val="00787670"/>
    <w:rsid w:val="007901A3"/>
    <w:rsid w:val="00790265"/>
    <w:rsid w:val="00790FDC"/>
    <w:rsid w:val="00794EE1"/>
    <w:rsid w:val="00795F93"/>
    <w:rsid w:val="0079658A"/>
    <w:rsid w:val="007975A6"/>
    <w:rsid w:val="007A0F1A"/>
    <w:rsid w:val="007A0F72"/>
    <w:rsid w:val="007A1C0C"/>
    <w:rsid w:val="007A42E8"/>
    <w:rsid w:val="007A6EB3"/>
    <w:rsid w:val="007C0C16"/>
    <w:rsid w:val="007C10B7"/>
    <w:rsid w:val="007C1D54"/>
    <w:rsid w:val="007C2D4A"/>
    <w:rsid w:val="007C464D"/>
    <w:rsid w:val="007C6514"/>
    <w:rsid w:val="007C6891"/>
    <w:rsid w:val="007C6D59"/>
    <w:rsid w:val="007C6D83"/>
    <w:rsid w:val="007D2FD5"/>
    <w:rsid w:val="007D4458"/>
    <w:rsid w:val="007D4533"/>
    <w:rsid w:val="007D73A8"/>
    <w:rsid w:val="007D75A3"/>
    <w:rsid w:val="007E0452"/>
    <w:rsid w:val="007E2443"/>
    <w:rsid w:val="007E2951"/>
    <w:rsid w:val="007E3A22"/>
    <w:rsid w:val="007E4397"/>
    <w:rsid w:val="007E46F5"/>
    <w:rsid w:val="007E4B16"/>
    <w:rsid w:val="007E4D88"/>
    <w:rsid w:val="007E4FB1"/>
    <w:rsid w:val="007E5596"/>
    <w:rsid w:val="007E571C"/>
    <w:rsid w:val="007E5D28"/>
    <w:rsid w:val="007E6CE6"/>
    <w:rsid w:val="007F2778"/>
    <w:rsid w:val="007F352F"/>
    <w:rsid w:val="007F408D"/>
    <w:rsid w:val="007F4967"/>
    <w:rsid w:val="007F671E"/>
    <w:rsid w:val="008015EE"/>
    <w:rsid w:val="00801C06"/>
    <w:rsid w:val="00802A6E"/>
    <w:rsid w:val="008033D0"/>
    <w:rsid w:val="008043EB"/>
    <w:rsid w:val="008048A1"/>
    <w:rsid w:val="008052AE"/>
    <w:rsid w:val="00805428"/>
    <w:rsid w:val="008108B6"/>
    <w:rsid w:val="00810B6F"/>
    <w:rsid w:val="00812E01"/>
    <w:rsid w:val="008143BC"/>
    <w:rsid w:val="00816FE6"/>
    <w:rsid w:val="0081715B"/>
    <w:rsid w:val="00817525"/>
    <w:rsid w:val="00820E73"/>
    <w:rsid w:val="00821282"/>
    <w:rsid w:val="00821F3E"/>
    <w:rsid w:val="008244B1"/>
    <w:rsid w:val="00824B26"/>
    <w:rsid w:val="008257D9"/>
    <w:rsid w:val="00825904"/>
    <w:rsid w:val="00825B5E"/>
    <w:rsid w:val="00827A2D"/>
    <w:rsid w:val="0083041C"/>
    <w:rsid w:val="00834900"/>
    <w:rsid w:val="00835579"/>
    <w:rsid w:val="008357B7"/>
    <w:rsid w:val="00835916"/>
    <w:rsid w:val="00835F3B"/>
    <w:rsid w:val="00836AA9"/>
    <w:rsid w:val="00837DE4"/>
    <w:rsid w:val="00837E9D"/>
    <w:rsid w:val="00841038"/>
    <w:rsid w:val="00841E29"/>
    <w:rsid w:val="0084316C"/>
    <w:rsid w:val="00850375"/>
    <w:rsid w:val="00850948"/>
    <w:rsid w:val="00851A4F"/>
    <w:rsid w:val="00852F3C"/>
    <w:rsid w:val="008536C9"/>
    <w:rsid w:val="00853E31"/>
    <w:rsid w:val="00856316"/>
    <w:rsid w:val="008604EB"/>
    <w:rsid w:val="00863C4A"/>
    <w:rsid w:val="00863E45"/>
    <w:rsid w:val="00864D43"/>
    <w:rsid w:val="00865E24"/>
    <w:rsid w:val="00866021"/>
    <w:rsid w:val="008662B4"/>
    <w:rsid w:val="00866371"/>
    <w:rsid w:val="0086762E"/>
    <w:rsid w:val="00867BFD"/>
    <w:rsid w:val="008714F6"/>
    <w:rsid w:val="00874361"/>
    <w:rsid w:val="0087450E"/>
    <w:rsid w:val="008813F1"/>
    <w:rsid w:val="00882190"/>
    <w:rsid w:val="008834FB"/>
    <w:rsid w:val="00883D51"/>
    <w:rsid w:val="008850C4"/>
    <w:rsid w:val="00885C77"/>
    <w:rsid w:val="008860EF"/>
    <w:rsid w:val="00886A0D"/>
    <w:rsid w:val="00886A87"/>
    <w:rsid w:val="00886CF5"/>
    <w:rsid w:val="0089106B"/>
    <w:rsid w:val="00892255"/>
    <w:rsid w:val="0089537B"/>
    <w:rsid w:val="0089689A"/>
    <w:rsid w:val="008A19CD"/>
    <w:rsid w:val="008A31AF"/>
    <w:rsid w:val="008A3316"/>
    <w:rsid w:val="008A3B4B"/>
    <w:rsid w:val="008A3F71"/>
    <w:rsid w:val="008A4DB4"/>
    <w:rsid w:val="008A57A2"/>
    <w:rsid w:val="008A5942"/>
    <w:rsid w:val="008A701D"/>
    <w:rsid w:val="008A7449"/>
    <w:rsid w:val="008B2CD1"/>
    <w:rsid w:val="008B3C5C"/>
    <w:rsid w:val="008B3EDA"/>
    <w:rsid w:val="008B4B2C"/>
    <w:rsid w:val="008B67D7"/>
    <w:rsid w:val="008B70E4"/>
    <w:rsid w:val="008B7A74"/>
    <w:rsid w:val="008B7DB4"/>
    <w:rsid w:val="008C0103"/>
    <w:rsid w:val="008C0F05"/>
    <w:rsid w:val="008C4472"/>
    <w:rsid w:val="008C5536"/>
    <w:rsid w:val="008C59A1"/>
    <w:rsid w:val="008C60AA"/>
    <w:rsid w:val="008C61AD"/>
    <w:rsid w:val="008C7D69"/>
    <w:rsid w:val="008D0BEC"/>
    <w:rsid w:val="008D28BE"/>
    <w:rsid w:val="008D39BD"/>
    <w:rsid w:val="008D3E5F"/>
    <w:rsid w:val="008D5E3E"/>
    <w:rsid w:val="008D644E"/>
    <w:rsid w:val="008D6DA8"/>
    <w:rsid w:val="008D74D2"/>
    <w:rsid w:val="008E05EF"/>
    <w:rsid w:val="008E0A3E"/>
    <w:rsid w:val="008E0A73"/>
    <w:rsid w:val="008E0AA8"/>
    <w:rsid w:val="008E1FEC"/>
    <w:rsid w:val="008E3BBA"/>
    <w:rsid w:val="008E4747"/>
    <w:rsid w:val="008E4A7A"/>
    <w:rsid w:val="008E59CC"/>
    <w:rsid w:val="008E59FC"/>
    <w:rsid w:val="008E60B7"/>
    <w:rsid w:val="008E610F"/>
    <w:rsid w:val="008E6259"/>
    <w:rsid w:val="008E6586"/>
    <w:rsid w:val="008E6662"/>
    <w:rsid w:val="008E674F"/>
    <w:rsid w:val="008E69D3"/>
    <w:rsid w:val="008E69D9"/>
    <w:rsid w:val="008E7EBE"/>
    <w:rsid w:val="008F08C2"/>
    <w:rsid w:val="008F0B42"/>
    <w:rsid w:val="008F222C"/>
    <w:rsid w:val="008F5FB4"/>
    <w:rsid w:val="0090015A"/>
    <w:rsid w:val="009018EB"/>
    <w:rsid w:val="0090409D"/>
    <w:rsid w:val="0090451D"/>
    <w:rsid w:val="00905802"/>
    <w:rsid w:val="009071EA"/>
    <w:rsid w:val="00910B80"/>
    <w:rsid w:val="00914554"/>
    <w:rsid w:val="00914C54"/>
    <w:rsid w:val="009166C5"/>
    <w:rsid w:val="00917EFE"/>
    <w:rsid w:val="00920DE6"/>
    <w:rsid w:val="00920F08"/>
    <w:rsid w:val="00921FD4"/>
    <w:rsid w:val="0092231E"/>
    <w:rsid w:val="009230C0"/>
    <w:rsid w:val="0092344E"/>
    <w:rsid w:val="00923D4D"/>
    <w:rsid w:val="009251C6"/>
    <w:rsid w:val="0092630B"/>
    <w:rsid w:val="00926C79"/>
    <w:rsid w:val="00927BA4"/>
    <w:rsid w:val="00930C6A"/>
    <w:rsid w:val="009316EA"/>
    <w:rsid w:val="00932733"/>
    <w:rsid w:val="00933CDC"/>
    <w:rsid w:val="00941048"/>
    <w:rsid w:val="009412E6"/>
    <w:rsid w:val="00941657"/>
    <w:rsid w:val="009418A5"/>
    <w:rsid w:val="00941B8E"/>
    <w:rsid w:val="0094236B"/>
    <w:rsid w:val="009439A3"/>
    <w:rsid w:val="0094496D"/>
    <w:rsid w:val="00944A79"/>
    <w:rsid w:val="00945DAB"/>
    <w:rsid w:val="00946855"/>
    <w:rsid w:val="009468AE"/>
    <w:rsid w:val="00950035"/>
    <w:rsid w:val="0095198A"/>
    <w:rsid w:val="00951ACC"/>
    <w:rsid w:val="00951E78"/>
    <w:rsid w:val="009520BA"/>
    <w:rsid w:val="00952535"/>
    <w:rsid w:val="00953E1B"/>
    <w:rsid w:val="00954200"/>
    <w:rsid w:val="00955CA2"/>
    <w:rsid w:val="00956B48"/>
    <w:rsid w:val="009570E3"/>
    <w:rsid w:val="00960CA3"/>
    <w:rsid w:val="00962147"/>
    <w:rsid w:val="00965EA5"/>
    <w:rsid w:val="00966918"/>
    <w:rsid w:val="00966DB0"/>
    <w:rsid w:val="00966EB8"/>
    <w:rsid w:val="00967769"/>
    <w:rsid w:val="009713E3"/>
    <w:rsid w:val="009727C4"/>
    <w:rsid w:val="0097323F"/>
    <w:rsid w:val="00973BA2"/>
    <w:rsid w:val="00974108"/>
    <w:rsid w:val="00974B92"/>
    <w:rsid w:val="00975499"/>
    <w:rsid w:val="00976D1E"/>
    <w:rsid w:val="00976F3E"/>
    <w:rsid w:val="00976F5E"/>
    <w:rsid w:val="00977847"/>
    <w:rsid w:val="00982203"/>
    <w:rsid w:val="00983351"/>
    <w:rsid w:val="009849DC"/>
    <w:rsid w:val="00984C69"/>
    <w:rsid w:val="00984D45"/>
    <w:rsid w:val="0098540B"/>
    <w:rsid w:val="00985A2C"/>
    <w:rsid w:val="00987A7E"/>
    <w:rsid w:val="0099160E"/>
    <w:rsid w:val="00991FB3"/>
    <w:rsid w:val="00995102"/>
    <w:rsid w:val="00995240"/>
    <w:rsid w:val="009A166D"/>
    <w:rsid w:val="009A44B2"/>
    <w:rsid w:val="009A4AD6"/>
    <w:rsid w:val="009A522A"/>
    <w:rsid w:val="009A6647"/>
    <w:rsid w:val="009A6CB3"/>
    <w:rsid w:val="009B06FB"/>
    <w:rsid w:val="009B09B1"/>
    <w:rsid w:val="009B0D7C"/>
    <w:rsid w:val="009B13AD"/>
    <w:rsid w:val="009B2E34"/>
    <w:rsid w:val="009B37B4"/>
    <w:rsid w:val="009B4B19"/>
    <w:rsid w:val="009B5158"/>
    <w:rsid w:val="009B79D8"/>
    <w:rsid w:val="009C1667"/>
    <w:rsid w:val="009C2FD7"/>
    <w:rsid w:val="009C3186"/>
    <w:rsid w:val="009C43CD"/>
    <w:rsid w:val="009D5C79"/>
    <w:rsid w:val="009D6A56"/>
    <w:rsid w:val="009D7C2D"/>
    <w:rsid w:val="009E014F"/>
    <w:rsid w:val="009E295C"/>
    <w:rsid w:val="009E2F4E"/>
    <w:rsid w:val="009E727E"/>
    <w:rsid w:val="009E7568"/>
    <w:rsid w:val="009F4EF0"/>
    <w:rsid w:val="009F5B64"/>
    <w:rsid w:val="009F5CB4"/>
    <w:rsid w:val="009F664A"/>
    <w:rsid w:val="00A02FD8"/>
    <w:rsid w:val="00A0371F"/>
    <w:rsid w:val="00A04315"/>
    <w:rsid w:val="00A04B4E"/>
    <w:rsid w:val="00A05C43"/>
    <w:rsid w:val="00A06DA6"/>
    <w:rsid w:val="00A070A5"/>
    <w:rsid w:val="00A10FB3"/>
    <w:rsid w:val="00A12340"/>
    <w:rsid w:val="00A13951"/>
    <w:rsid w:val="00A13B7A"/>
    <w:rsid w:val="00A13D9B"/>
    <w:rsid w:val="00A1568F"/>
    <w:rsid w:val="00A17E04"/>
    <w:rsid w:val="00A213EA"/>
    <w:rsid w:val="00A23808"/>
    <w:rsid w:val="00A27F72"/>
    <w:rsid w:val="00A309FE"/>
    <w:rsid w:val="00A31D73"/>
    <w:rsid w:val="00A32B35"/>
    <w:rsid w:val="00A32ECC"/>
    <w:rsid w:val="00A36AB9"/>
    <w:rsid w:val="00A37FAA"/>
    <w:rsid w:val="00A44B47"/>
    <w:rsid w:val="00A4678A"/>
    <w:rsid w:val="00A468A1"/>
    <w:rsid w:val="00A47E93"/>
    <w:rsid w:val="00A5058F"/>
    <w:rsid w:val="00A51002"/>
    <w:rsid w:val="00A512A1"/>
    <w:rsid w:val="00A52069"/>
    <w:rsid w:val="00A52B5D"/>
    <w:rsid w:val="00A52FFF"/>
    <w:rsid w:val="00A536CF"/>
    <w:rsid w:val="00A53A6E"/>
    <w:rsid w:val="00A56558"/>
    <w:rsid w:val="00A5655E"/>
    <w:rsid w:val="00A56E03"/>
    <w:rsid w:val="00A57C17"/>
    <w:rsid w:val="00A60997"/>
    <w:rsid w:val="00A61CE0"/>
    <w:rsid w:val="00A626F8"/>
    <w:rsid w:val="00A62A89"/>
    <w:rsid w:val="00A62CDC"/>
    <w:rsid w:val="00A649D6"/>
    <w:rsid w:val="00A64F48"/>
    <w:rsid w:val="00A6534C"/>
    <w:rsid w:val="00A667F6"/>
    <w:rsid w:val="00A7037D"/>
    <w:rsid w:val="00A70D67"/>
    <w:rsid w:val="00A7158A"/>
    <w:rsid w:val="00A71ADF"/>
    <w:rsid w:val="00A73011"/>
    <w:rsid w:val="00A73948"/>
    <w:rsid w:val="00A73E8A"/>
    <w:rsid w:val="00A74FFC"/>
    <w:rsid w:val="00A77CB6"/>
    <w:rsid w:val="00A80FD8"/>
    <w:rsid w:val="00A81A53"/>
    <w:rsid w:val="00A82CEF"/>
    <w:rsid w:val="00A8311B"/>
    <w:rsid w:val="00A8417B"/>
    <w:rsid w:val="00A841AD"/>
    <w:rsid w:val="00A846A1"/>
    <w:rsid w:val="00A84EA9"/>
    <w:rsid w:val="00A8500A"/>
    <w:rsid w:val="00A86461"/>
    <w:rsid w:val="00A866E9"/>
    <w:rsid w:val="00A87DD7"/>
    <w:rsid w:val="00A905E3"/>
    <w:rsid w:val="00A92793"/>
    <w:rsid w:val="00A92DB4"/>
    <w:rsid w:val="00A9550F"/>
    <w:rsid w:val="00A963AF"/>
    <w:rsid w:val="00A96654"/>
    <w:rsid w:val="00A9763B"/>
    <w:rsid w:val="00AA0832"/>
    <w:rsid w:val="00AA0CC0"/>
    <w:rsid w:val="00AA0D15"/>
    <w:rsid w:val="00AA2266"/>
    <w:rsid w:val="00AA3B28"/>
    <w:rsid w:val="00AA573E"/>
    <w:rsid w:val="00AA5F44"/>
    <w:rsid w:val="00AA7C01"/>
    <w:rsid w:val="00AB07A1"/>
    <w:rsid w:val="00AB3B4F"/>
    <w:rsid w:val="00AB4151"/>
    <w:rsid w:val="00AB4745"/>
    <w:rsid w:val="00AB4CC1"/>
    <w:rsid w:val="00AB7ADC"/>
    <w:rsid w:val="00AC0B05"/>
    <w:rsid w:val="00AC0E3F"/>
    <w:rsid w:val="00AC22DA"/>
    <w:rsid w:val="00AC4664"/>
    <w:rsid w:val="00AC5173"/>
    <w:rsid w:val="00AC63E0"/>
    <w:rsid w:val="00AC6698"/>
    <w:rsid w:val="00AD1FD4"/>
    <w:rsid w:val="00AD2FD3"/>
    <w:rsid w:val="00AD4BFA"/>
    <w:rsid w:val="00AD7A8D"/>
    <w:rsid w:val="00AD7C74"/>
    <w:rsid w:val="00AE1638"/>
    <w:rsid w:val="00AE1ADA"/>
    <w:rsid w:val="00AE538C"/>
    <w:rsid w:val="00AE5D0A"/>
    <w:rsid w:val="00AE6BC3"/>
    <w:rsid w:val="00AF03FD"/>
    <w:rsid w:val="00AF1297"/>
    <w:rsid w:val="00AF2DF7"/>
    <w:rsid w:val="00AF313F"/>
    <w:rsid w:val="00AF343E"/>
    <w:rsid w:val="00AF6A71"/>
    <w:rsid w:val="00B0091E"/>
    <w:rsid w:val="00B00D29"/>
    <w:rsid w:val="00B017E6"/>
    <w:rsid w:val="00B01B19"/>
    <w:rsid w:val="00B02DAE"/>
    <w:rsid w:val="00B11919"/>
    <w:rsid w:val="00B13A7B"/>
    <w:rsid w:val="00B1521A"/>
    <w:rsid w:val="00B170D2"/>
    <w:rsid w:val="00B20170"/>
    <w:rsid w:val="00B217B7"/>
    <w:rsid w:val="00B21D8C"/>
    <w:rsid w:val="00B235BA"/>
    <w:rsid w:val="00B25037"/>
    <w:rsid w:val="00B25294"/>
    <w:rsid w:val="00B26126"/>
    <w:rsid w:val="00B307DA"/>
    <w:rsid w:val="00B31D8B"/>
    <w:rsid w:val="00B3293D"/>
    <w:rsid w:val="00B368A2"/>
    <w:rsid w:val="00B421C6"/>
    <w:rsid w:val="00B450FE"/>
    <w:rsid w:val="00B45B0E"/>
    <w:rsid w:val="00B4653F"/>
    <w:rsid w:val="00B508AF"/>
    <w:rsid w:val="00B5165A"/>
    <w:rsid w:val="00B51E1F"/>
    <w:rsid w:val="00B53120"/>
    <w:rsid w:val="00B53D74"/>
    <w:rsid w:val="00B55BEC"/>
    <w:rsid w:val="00B579EF"/>
    <w:rsid w:val="00B57F50"/>
    <w:rsid w:val="00B6027A"/>
    <w:rsid w:val="00B604D9"/>
    <w:rsid w:val="00B6341A"/>
    <w:rsid w:val="00B65AA2"/>
    <w:rsid w:val="00B667E3"/>
    <w:rsid w:val="00B7005C"/>
    <w:rsid w:val="00B718EA"/>
    <w:rsid w:val="00B7298F"/>
    <w:rsid w:val="00B730BF"/>
    <w:rsid w:val="00B738CA"/>
    <w:rsid w:val="00B7426F"/>
    <w:rsid w:val="00B746A8"/>
    <w:rsid w:val="00B74EF0"/>
    <w:rsid w:val="00B76652"/>
    <w:rsid w:val="00B76F04"/>
    <w:rsid w:val="00B8016A"/>
    <w:rsid w:val="00B81DCB"/>
    <w:rsid w:val="00B823E9"/>
    <w:rsid w:val="00B829AB"/>
    <w:rsid w:val="00B84B4A"/>
    <w:rsid w:val="00B87FCC"/>
    <w:rsid w:val="00B90D44"/>
    <w:rsid w:val="00B911EC"/>
    <w:rsid w:val="00B915B1"/>
    <w:rsid w:val="00B91E8A"/>
    <w:rsid w:val="00B92474"/>
    <w:rsid w:val="00B946FA"/>
    <w:rsid w:val="00B94785"/>
    <w:rsid w:val="00B94EA5"/>
    <w:rsid w:val="00B96587"/>
    <w:rsid w:val="00B96B03"/>
    <w:rsid w:val="00B9703D"/>
    <w:rsid w:val="00B97AFC"/>
    <w:rsid w:val="00BA294C"/>
    <w:rsid w:val="00BA6426"/>
    <w:rsid w:val="00BA734B"/>
    <w:rsid w:val="00BA7635"/>
    <w:rsid w:val="00BA7E55"/>
    <w:rsid w:val="00BB1060"/>
    <w:rsid w:val="00BB19FF"/>
    <w:rsid w:val="00BB2099"/>
    <w:rsid w:val="00BB2560"/>
    <w:rsid w:val="00BB28BF"/>
    <w:rsid w:val="00BB6C5D"/>
    <w:rsid w:val="00BB73FA"/>
    <w:rsid w:val="00BB7D85"/>
    <w:rsid w:val="00BC139C"/>
    <w:rsid w:val="00BC1E3F"/>
    <w:rsid w:val="00BC225B"/>
    <w:rsid w:val="00BC48AF"/>
    <w:rsid w:val="00BC48DB"/>
    <w:rsid w:val="00BC5B04"/>
    <w:rsid w:val="00BC5C1B"/>
    <w:rsid w:val="00BD18FD"/>
    <w:rsid w:val="00BD199C"/>
    <w:rsid w:val="00BD3693"/>
    <w:rsid w:val="00BD3D0C"/>
    <w:rsid w:val="00BD45A7"/>
    <w:rsid w:val="00BD7B50"/>
    <w:rsid w:val="00BD7EB0"/>
    <w:rsid w:val="00BE0C3C"/>
    <w:rsid w:val="00BE139F"/>
    <w:rsid w:val="00BE2CB5"/>
    <w:rsid w:val="00BE3FE0"/>
    <w:rsid w:val="00BE4795"/>
    <w:rsid w:val="00BE4AE9"/>
    <w:rsid w:val="00BE6F9C"/>
    <w:rsid w:val="00BE74DD"/>
    <w:rsid w:val="00BF2080"/>
    <w:rsid w:val="00BF21B1"/>
    <w:rsid w:val="00BF2E3E"/>
    <w:rsid w:val="00BF361D"/>
    <w:rsid w:val="00BF482A"/>
    <w:rsid w:val="00BF7CF1"/>
    <w:rsid w:val="00C05FC5"/>
    <w:rsid w:val="00C105BA"/>
    <w:rsid w:val="00C11C35"/>
    <w:rsid w:val="00C12D16"/>
    <w:rsid w:val="00C1454A"/>
    <w:rsid w:val="00C1614A"/>
    <w:rsid w:val="00C20417"/>
    <w:rsid w:val="00C22361"/>
    <w:rsid w:val="00C229FE"/>
    <w:rsid w:val="00C25408"/>
    <w:rsid w:val="00C25A95"/>
    <w:rsid w:val="00C33425"/>
    <w:rsid w:val="00C34E0B"/>
    <w:rsid w:val="00C3599B"/>
    <w:rsid w:val="00C375EA"/>
    <w:rsid w:val="00C40329"/>
    <w:rsid w:val="00C40C74"/>
    <w:rsid w:val="00C41464"/>
    <w:rsid w:val="00C419D8"/>
    <w:rsid w:val="00C44609"/>
    <w:rsid w:val="00C44C71"/>
    <w:rsid w:val="00C4592A"/>
    <w:rsid w:val="00C472E0"/>
    <w:rsid w:val="00C47AE6"/>
    <w:rsid w:val="00C50C29"/>
    <w:rsid w:val="00C51119"/>
    <w:rsid w:val="00C52873"/>
    <w:rsid w:val="00C53902"/>
    <w:rsid w:val="00C5441F"/>
    <w:rsid w:val="00C545C6"/>
    <w:rsid w:val="00C554AC"/>
    <w:rsid w:val="00C560CC"/>
    <w:rsid w:val="00C56244"/>
    <w:rsid w:val="00C57189"/>
    <w:rsid w:val="00C573A6"/>
    <w:rsid w:val="00C575DB"/>
    <w:rsid w:val="00C60DFE"/>
    <w:rsid w:val="00C615F9"/>
    <w:rsid w:val="00C62DA9"/>
    <w:rsid w:val="00C679B6"/>
    <w:rsid w:val="00C71557"/>
    <w:rsid w:val="00C715E7"/>
    <w:rsid w:val="00C71B79"/>
    <w:rsid w:val="00C726E2"/>
    <w:rsid w:val="00C729F7"/>
    <w:rsid w:val="00C72F7E"/>
    <w:rsid w:val="00C74465"/>
    <w:rsid w:val="00C7745D"/>
    <w:rsid w:val="00C7778F"/>
    <w:rsid w:val="00C77FDA"/>
    <w:rsid w:val="00C80F6A"/>
    <w:rsid w:val="00C818C9"/>
    <w:rsid w:val="00C81B47"/>
    <w:rsid w:val="00C82417"/>
    <w:rsid w:val="00C83422"/>
    <w:rsid w:val="00C841B7"/>
    <w:rsid w:val="00C84F86"/>
    <w:rsid w:val="00C8550F"/>
    <w:rsid w:val="00C857DE"/>
    <w:rsid w:val="00C85D8A"/>
    <w:rsid w:val="00C86B65"/>
    <w:rsid w:val="00C86D65"/>
    <w:rsid w:val="00C8771B"/>
    <w:rsid w:val="00C905D2"/>
    <w:rsid w:val="00C91D45"/>
    <w:rsid w:val="00C945F5"/>
    <w:rsid w:val="00C9481C"/>
    <w:rsid w:val="00C94D50"/>
    <w:rsid w:val="00C951DC"/>
    <w:rsid w:val="00C95DA5"/>
    <w:rsid w:val="00CA1AE2"/>
    <w:rsid w:val="00CA2901"/>
    <w:rsid w:val="00CA2F51"/>
    <w:rsid w:val="00CA42CD"/>
    <w:rsid w:val="00CA4FFE"/>
    <w:rsid w:val="00CA6AF8"/>
    <w:rsid w:val="00CA6C5B"/>
    <w:rsid w:val="00CA7827"/>
    <w:rsid w:val="00CB13F6"/>
    <w:rsid w:val="00CB3A5C"/>
    <w:rsid w:val="00CB40D9"/>
    <w:rsid w:val="00CB5186"/>
    <w:rsid w:val="00CB5BBF"/>
    <w:rsid w:val="00CB6ACB"/>
    <w:rsid w:val="00CB6D4B"/>
    <w:rsid w:val="00CC02FF"/>
    <w:rsid w:val="00CC0BAC"/>
    <w:rsid w:val="00CC146A"/>
    <w:rsid w:val="00CC2BBA"/>
    <w:rsid w:val="00CC52B7"/>
    <w:rsid w:val="00CC617D"/>
    <w:rsid w:val="00CC77DA"/>
    <w:rsid w:val="00CD016E"/>
    <w:rsid w:val="00CD076D"/>
    <w:rsid w:val="00CD07E8"/>
    <w:rsid w:val="00CD1DFE"/>
    <w:rsid w:val="00CD2ABD"/>
    <w:rsid w:val="00CD3E20"/>
    <w:rsid w:val="00CD7B1D"/>
    <w:rsid w:val="00CE191D"/>
    <w:rsid w:val="00CE1A8D"/>
    <w:rsid w:val="00CE1B0B"/>
    <w:rsid w:val="00CE2465"/>
    <w:rsid w:val="00CE2893"/>
    <w:rsid w:val="00CE355B"/>
    <w:rsid w:val="00CE35B3"/>
    <w:rsid w:val="00CE3639"/>
    <w:rsid w:val="00CE4584"/>
    <w:rsid w:val="00CE4B91"/>
    <w:rsid w:val="00CE673B"/>
    <w:rsid w:val="00CF09A1"/>
    <w:rsid w:val="00CF0C40"/>
    <w:rsid w:val="00CF3280"/>
    <w:rsid w:val="00CF43FA"/>
    <w:rsid w:val="00CF4DDF"/>
    <w:rsid w:val="00CF5837"/>
    <w:rsid w:val="00CF6448"/>
    <w:rsid w:val="00D02107"/>
    <w:rsid w:val="00D02406"/>
    <w:rsid w:val="00D03F4A"/>
    <w:rsid w:val="00D064B3"/>
    <w:rsid w:val="00D06D03"/>
    <w:rsid w:val="00D10CDE"/>
    <w:rsid w:val="00D11149"/>
    <w:rsid w:val="00D12FF9"/>
    <w:rsid w:val="00D14E56"/>
    <w:rsid w:val="00D1524E"/>
    <w:rsid w:val="00D17267"/>
    <w:rsid w:val="00D17AB6"/>
    <w:rsid w:val="00D2105D"/>
    <w:rsid w:val="00D21B72"/>
    <w:rsid w:val="00D22685"/>
    <w:rsid w:val="00D23A50"/>
    <w:rsid w:val="00D24F92"/>
    <w:rsid w:val="00D25FAA"/>
    <w:rsid w:val="00D26075"/>
    <w:rsid w:val="00D268D4"/>
    <w:rsid w:val="00D26BCC"/>
    <w:rsid w:val="00D30815"/>
    <w:rsid w:val="00D31A6B"/>
    <w:rsid w:val="00D329DA"/>
    <w:rsid w:val="00D32BD3"/>
    <w:rsid w:val="00D3406C"/>
    <w:rsid w:val="00D34872"/>
    <w:rsid w:val="00D35BEB"/>
    <w:rsid w:val="00D36F84"/>
    <w:rsid w:val="00D41DFC"/>
    <w:rsid w:val="00D42252"/>
    <w:rsid w:val="00D429CC"/>
    <w:rsid w:val="00D43251"/>
    <w:rsid w:val="00D442CE"/>
    <w:rsid w:val="00D50C70"/>
    <w:rsid w:val="00D51A77"/>
    <w:rsid w:val="00D525E2"/>
    <w:rsid w:val="00D561D3"/>
    <w:rsid w:val="00D5669D"/>
    <w:rsid w:val="00D57939"/>
    <w:rsid w:val="00D6009D"/>
    <w:rsid w:val="00D60BEF"/>
    <w:rsid w:val="00D60E2B"/>
    <w:rsid w:val="00D6166C"/>
    <w:rsid w:val="00D617A5"/>
    <w:rsid w:val="00D61D4D"/>
    <w:rsid w:val="00D62BA4"/>
    <w:rsid w:val="00D62ED9"/>
    <w:rsid w:val="00D65432"/>
    <w:rsid w:val="00D71BD2"/>
    <w:rsid w:val="00D7309D"/>
    <w:rsid w:val="00D734B0"/>
    <w:rsid w:val="00D752C7"/>
    <w:rsid w:val="00D765D4"/>
    <w:rsid w:val="00D77EA9"/>
    <w:rsid w:val="00D8059C"/>
    <w:rsid w:val="00D81202"/>
    <w:rsid w:val="00D84250"/>
    <w:rsid w:val="00D84C2D"/>
    <w:rsid w:val="00D86139"/>
    <w:rsid w:val="00D86871"/>
    <w:rsid w:val="00D87E83"/>
    <w:rsid w:val="00D90241"/>
    <w:rsid w:val="00D9041F"/>
    <w:rsid w:val="00D91189"/>
    <w:rsid w:val="00D924C1"/>
    <w:rsid w:val="00D93174"/>
    <w:rsid w:val="00D931BD"/>
    <w:rsid w:val="00D94216"/>
    <w:rsid w:val="00D9501F"/>
    <w:rsid w:val="00D95451"/>
    <w:rsid w:val="00D9569D"/>
    <w:rsid w:val="00D95AAF"/>
    <w:rsid w:val="00D96594"/>
    <w:rsid w:val="00DA11A7"/>
    <w:rsid w:val="00DA1E2F"/>
    <w:rsid w:val="00DA2165"/>
    <w:rsid w:val="00DA251A"/>
    <w:rsid w:val="00DA2AC5"/>
    <w:rsid w:val="00DA3853"/>
    <w:rsid w:val="00DA387E"/>
    <w:rsid w:val="00DA57D2"/>
    <w:rsid w:val="00DA645E"/>
    <w:rsid w:val="00DA70D5"/>
    <w:rsid w:val="00DB180F"/>
    <w:rsid w:val="00DB1A33"/>
    <w:rsid w:val="00DB1EA6"/>
    <w:rsid w:val="00DB2335"/>
    <w:rsid w:val="00DB3377"/>
    <w:rsid w:val="00DB3E7E"/>
    <w:rsid w:val="00DB4200"/>
    <w:rsid w:val="00DB448E"/>
    <w:rsid w:val="00DB4766"/>
    <w:rsid w:val="00DB4A8A"/>
    <w:rsid w:val="00DB60D9"/>
    <w:rsid w:val="00DB6ECF"/>
    <w:rsid w:val="00DC0787"/>
    <w:rsid w:val="00DC0965"/>
    <w:rsid w:val="00DC1C55"/>
    <w:rsid w:val="00DC2FF5"/>
    <w:rsid w:val="00DC44E3"/>
    <w:rsid w:val="00DC54CF"/>
    <w:rsid w:val="00DC5B8D"/>
    <w:rsid w:val="00DC6417"/>
    <w:rsid w:val="00DD4747"/>
    <w:rsid w:val="00DD4949"/>
    <w:rsid w:val="00DD5FA5"/>
    <w:rsid w:val="00DE036A"/>
    <w:rsid w:val="00DE1993"/>
    <w:rsid w:val="00DE4330"/>
    <w:rsid w:val="00DE64F5"/>
    <w:rsid w:val="00DE6A8E"/>
    <w:rsid w:val="00DE7FEE"/>
    <w:rsid w:val="00DF2525"/>
    <w:rsid w:val="00DF5536"/>
    <w:rsid w:val="00DF6644"/>
    <w:rsid w:val="00E008AB"/>
    <w:rsid w:val="00E00F02"/>
    <w:rsid w:val="00E01733"/>
    <w:rsid w:val="00E01DEF"/>
    <w:rsid w:val="00E02236"/>
    <w:rsid w:val="00E02376"/>
    <w:rsid w:val="00E02511"/>
    <w:rsid w:val="00E02613"/>
    <w:rsid w:val="00E04026"/>
    <w:rsid w:val="00E05372"/>
    <w:rsid w:val="00E10DF4"/>
    <w:rsid w:val="00E119E4"/>
    <w:rsid w:val="00E11C48"/>
    <w:rsid w:val="00E1370F"/>
    <w:rsid w:val="00E13BC8"/>
    <w:rsid w:val="00E14767"/>
    <w:rsid w:val="00E16001"/>
    <w:rsid w:val="00E167F8"/>
    <w:rsid w:val="00E16ED7"/>
    <w:rsid w:val="00E1793F"/>
    <w:rsid w:val="00E17E23"/>
    <w:rsid w:val="00E21FF1"/>
    <w:rsid w:val="00E222DC"/>
    <w:rsid w:val="00E22FF8"/>
    <w:rsid w:val="00E23414"/>
    <w:rsid w:val="00E24753"/>
    <w:rsid w:val="00E2558B"/>
    <w:rsid w:val="00E26C06"/>
    <w:rsid w:val="00E26FA1"/>
    <w:rsid w:val="00E31A03"/>
    <w:rsid w:val="00E327D9"/>
    <w:rsid w:val="00E35B6F"/>
    <w:rsid w:val="00E361A6"/>
    <w:rsid w:val="00E405BB"/>
    <w:rsid w:val="00E40F59"/>
    <w:rsid w:val="00E425F0"/>
    <w:rsid w:val="00E42BEE"/>
    <w:rsid w:val="00E44D8E"/>
    <w:rsid w:val="00E4753D"/>
    <w:rsid w:val="00E47B39"/>
    <w:rsid w:val="00E51249"/>
    <w:rsid w:val="00E52B77"/>
    <w:rsid w:val="00E53057"/>
    <w:rsid w:val="00E53999"/>
    <w:rsid w:val="00E53A7C"/>
    <w:rsid w:val="00E53D51"/>
    <w:rsid w:val="00E54519"/>
    <w:rsid w:val="00E548A5"/>
    <w:rsid w:val="00E55BBA"/>
    <w:rsid w:val="00E56385"/>
    <w:rsid w:val="00E61C2A"/>
    <w:rsid w:val="00E63EB6"/>
    <w:rsid w:val="00E646DB"/>
    <w:rsid w:val="00E64C02"/>
    <w:rsid w:val="00E66E91"/>
    <w:rsid w:val="00E67D8B"/>
    <w:rsid w:val="00E707FF"/>
    <w:rsid w:val="00E70C01"/>
    <w:rsid w:val="00E7296B"/>
    <w:rsid w:val="00E73C70"/>
    <w:rsid w:val="00E75EEA"/>
    <w:rsid w:val="00E763CB"/>
    <w:rsid w:val="00E76A1B"/>
    <w:rsid w:val="00E80A14"/>
    <w:rsid w:val="00E80EB2"/>
    <w:rsid w:val="00E814E3"/>
    <w:rsid w:val="00E829EF"/>
    <w:rsid w:val="00E82C67"/>
    <w:rsid w:val="00E82E69"/>
    <w:rsid w:val="00E8312E"/>
    <w:rsid w:val="00E85197"/>
    <w:rsid w:val="00E8598E"/>
    <w:rsid w:val="00E85A58"/>
    <w:rsid w:val="00E86605"/>
    <w:rsid w:val="00E87DA0"/>
    <w:rsid w:val="00E9004E"/>
    <w:rsid w:val="00E901FE"/>
    <w:rsid w:val="00E92511"/>
    <w:rsid w:val="00E93CF3"/>
    <w:rsid w:val="00E94711"/>
    <w:rsid w:val="00E96598"/>
    <w:rsid w:val="00EA01A6"/>
    <w:rsid w:val="00EA1932"/>
    <w:rsid w:val="00EA3247"/>
    <w:rsid w:val="00EA340C"/>
    <w:rsid w:val="00EA698C"/>
    <w:rsid w:val="00EA70EC"/>
    <w:rsid w:val="00EA717B"/>
    <w:rsid w:val="00EB22AA"/>
    <w:rsid w:val="00EB2DCD"/>
    <w:rsid w:val="00EB4939"/>
    <w:rsid w:val="00EB61A6"/>
    <w:rsid w:val="00EB633F"/>
    <w:rsid w:val="00EB7820"/>
    <w:rsid w:val="00EB7AA2"/>
    <w:rsid w:val="00EC16F5"/>
    <w:rsid w:val="00EC47C5"/>
    <w:rsid w:val="00EC493B"/>
    <w:rsid w:val="00EC4CC6"/>
    <w:rsid w:val="00EC6494"/>
    <w:rsid w:val="00EC7826"/>
    <w:rsid w:val="00ED1041"/>
    <w:rsid w:val="00ED15A1"/>
    <w:rsid w:val="00ED18D4"/>
    <w:rsid w:val="00ED244B"/>
    <w:rsid w:val="00ED4BC0"/>
    <w:rsid w:val="00ED7CA6"/>
    <w:rsid w:val="00EE09D3"/>
    <w:rsid w:val="00EE7BE0"/>
    <w:rsid w:val="00EE7F78"/>
    <w:rsid w:val="00EF0219"/>
    <w:rsid w:val="00EF0744"/>
    <w:rsid w:val="00EF33B8"/>
    <w:rsid w:val="00EF696D"/>
    <w:rsid w:val="00EF74C1"/>
    <w:rsid w:val="00F010D0"/>
    <w:rsid w:val="00F016CE"/>
    <w:rsid w:val="00F018DF"/>
    <w:rsid w:val="00F02090"/>
    <w:rsid w:val="00F0426E"/>
    <w:rsid w:val="00F0487B"/>
    <w:rsid w:val="00F048B5"/>
    <w:rsid w:val="00F0668C"/>
    <w:rsid w:val="00F0681A"/>
    <w:rsid w:val="00F06FE2"/>
    <w:rsid w:val="00F15B4C"/>
    <w:rsid w:val="00F174BB"/>
    <w:rsid w:val="00F20C63"/>
    <w:rsid w:val="00F20E06"/>
    <w:rsid w:val="00F213C9"/>
    <w:rsid w:val="00F23C0F"/>
    <w:rsid w:val="00F2429C"/>
    <w:rsid w:val="00F246D2"/>
    <w:rsid w:val="00F254AC"/>
    <w:rsid w:val="00F25737"/>
    <w:rsid w:val="00F26EF6"/>
    <w:rsid w:val="00F31059"/>
    <w:rsid w:val="00F32664"/>
    <w:rsid w:val="00F32A76"/>
    <w:rsid w:val="00F32E05"/>
    <w:rsid w:val="00F32EDB"/>
    <w:rsid w:val="00F33013"/>
    <w:rsid w:val="00F35164"/>
    <w:rsid w:val="00F3591F"/>
    <w:rsid w:val="00F35933"/>
    <w:rsid w:val="00F3669E"/>
    <w:rsid w:val="00F4316D"/>
    <w:rsid w:val="00F44311"/>
    <w:rsid w:val="00F44AC8"/>
    <w:rsid w:val="00F45657"/>
    <w:rsid w:val="00F4606C"/>
    <w:rsid w:val="00F46672"/>
    <w:rsid w:val="00F500F8"/>
    <w:rsid w:val="00F525EB"/>
    <w:rsid w:val="00F52B7D"/>
    <w:rsid w:val="00F544A2"/>
    <w:rsid w:val="00F54E67"/>
    <w:rsid w:val="00F559B2"/>
    <w:rsid w:val="00F56EE7"/>
    <w:rsid w:val="00F615A8"/>
    <w:rsid w:val="00F64395"/>
    <w:rsid w:val="00F652DC"/>
    <w:rsid w:val="00F67291"/>
    <w:rsid w:val="00F70C51"/>
    <w:rsid w:val="00F745DA"/>
    <w:rsid w:val="00F76B71"/>
    <w:rsid w:val="00F77520"/>
    <w:rsid w:val="00F81C51"/>
    <w:rsid w:val="00F81F9C"/>
    <w:rsid w:val="00F833ED"/>
    <w:rsid w:val="00F84F71"/>
    <w:rsid w:val="00F8740E"/>
    <w:rsid w:val="00F90C86"/>
    <w:rsid w:val="00F90DE7"/>
    <w:rsid w:val="00F91E44"/>
    <w:rsid w:val="00F92391"/>
    <w:rsid w:val="00F92E68"/>
    <w:rsid w:val="00F93138"/>
    <w:rsid w:val="00F96202"/>
    <w:rsid w:val="00F96690"/>
    <w:rsid w:val="00F96A31"/>
    <w:rsid w:val="00FA071E"/>
    <w:rsid w:val="00FA1467"/>
    <w:rsid w:val="00FA61BE"/>
    <w:rsid w:val="00FB0D0B"/>
    <w:rsid w:val="00FB0E80"/>
    <w:rsid w:val="00FB1958"/>
    <w:rsid w:val="00FB2C8F"/>
    <w:rsid w:val="00FB2F3E"/>
    <w:rsid w:val="00FB3D50"/>
    <w:rsid w:val="00FB663D"/>
    <w:rsid w:val="00FC0264"/>
    <w:rsid w:val="00FC17CE"/>
    <w:rsid w:val="00FC33C5"/>
    <w:rsid w:val="00FC4D22"/>
    <w:rsid w:val="00FC5604"/>
    <w:rsid w:val="00FC6D16"/>
    <w:rsid w:val="00FC723E"/>
    <w:rsid w:val="00FD0374"/>
    <w:rsid w:val="00FD1A2A"/>
    <w:rsid w:val="00FD1DAD"/>
    <w:rsid w:val="00FD3F70"/>
    <w:rsid w:val="00FD6320"/>
    <w:rsid w:val="00FE2DD9"/>
    <w:rsid w:val="00FE450A"/>
    <w:rsid w:val="00FE591D"/>
    <w:rsid w:val="00FE5FF0"/>
    <w:rsid w:val="00FE7ADF"/>
    <w:rsid w:val="00FF0FEE"/>
    <w:rsid w:val="00FF2E49"/>
    <w:rsid w:val="00FF49C2"/>
    <w:rsid w:val="00FF584E"/>
    <w:rsid w:val="00FF5A29"/>
    <w:rsid w:val="00FF6BE0"/>
    <w:rsid w:val="00FF6E8D"/>
    <w:rsid w:val="00FF7C58"/>
    <w:rsid w:val="3A4675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D3B34E6"/>
  <w15:docId w15:val="{7E910630-5723-4880-8ED5-2DAD99224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JANZSSA Table contents"/>
    <w:rsid w:val="004B2BB2"/>
    <w:rPr>
      <w:rFonts w:ascii="Times New Roman" w:eastAsia="Calibri" w:hAnsi="Times New Roman"/>
      <w:szCs w:val="22"/>
    </w:rPr>
  </w:style>
  <w:style w:type="paragraph" w:styleId="Heading1">
    <w:name w:val="heading 1"/>
    <w:aliases w:val="Article name,APA Level 1"/>
    <w:basedOn w:val="Normal"/>
    <w:next w:val="Normal"/>
    <w:link w:val="Heading1Char"/>
    <w:uiPriority w:val="9"/>
    <w:rsid w:val="00130AC8"/>
    <w:pPr>
      <w:keepNext/>
      <w:keepLines/>
      <w:spacing w:before="480"/>
      <w:outlineLvl w:val="0"/>
    </w:pPr>
    <w:rPr>
      <w:rFonts w:ascii="Cambria" w:eastAsia="Times New Roman" w:hAnsi="Cambria"/>
      <w:b/>
      <w:bCs/>
      <w:color w:val="365F91"/>
      <w:sz w:val="28"/>
      <w:szCs w:val="28"/>
    </w:rPr>
  </w:style>
  <w:style w:type="paragraph" w:styleId="Heading2">
    <w:name w:val="heading 2"/>
    <w:aliases w:val="Heading within article,APA Level 2"/>
    <w:basedOn w:val="Normal"/>
    <w:next w:val="Normal"/>
    <w:link w:val="Heading2Char"/>
    <w:uiPriority w:val="9"/>
    <w:unhideWhenUsed/>
    <w:rsid w:val="00130AC8"/>
    <w:pPr>
      <w:keepNext/>
      <w:keepLines/>
      <w:spacing w:before="200"/>
      <w:outlineLvl w:val="1"/>
    </w:pPr>
    <w:rPr>
      <w:rFonts w:ascii="Cambria" w:eastAsia="Times New Roman" w:hAnsi="Cambria"/>
      <w:b/>
      <w:bCs/>
      <w:color w:val="4F81BD"/>
      <w:sz w:val="26"/>
      <w:szCs w:val="26"/>
    </w:rPr>
  </w:style>
  <w:style w:type="paragraph" w:styleId="Heading3">
    <w:name w:val="heading 3"/>
    <w:aliases w:val="Heading 3 - Gordon,APA Level 3,APA Heading 3"/>
    <w:basedOn w:val="Normal"/>
    <w:next w:val="Normal"/>
    <w:link w:val="Heading3Char"/>
    <w:uiPriority w:val="9"/>
    <w:unhideWhenUsed/>
    <w:rsid w:val="00130AC8"/>
    <w:pPr>
      <w:keepNext/>
      <w:keepLines/>
      <w:spacing w:before="200"/>
      <w:outlineLvl w:val="2"/>
    </w:pPr>
    <w:rPr>
      <w:rFonts w:ascii="Cambria" w:eastAsia="Times New Roman" w:hAnsi="Cambria"/>
      <w:b/>
      <w:bCs/>
      <w:color w:val="4F81BD"/>
    </w:rPr>
  </w:style>
  <w:style w:type="paragraph" w:styleId="Heading4">
    <w:name w:val="heading 4"/>
    <w:aliases w:val="Heading 4 - Gordon,APA Level 4"/>
    <w:basedOn w:val="Normal"/>
    <w:next w:val="Normal"/>
    <w:link w:val="Heading4Char"/>
    <w:uiPriority w:val="9"/>
    <w:unhideWhenUsed/>
    <w:rsid w:val="00130AC8"/>
    <w:pPr>
      <w:keepNext/>
      <w:keepLines/>
      <w:spacing w:before="200"/>
      <w:outlineLvl w:val="3"/>
    </w:pPr>
    <w:rPr>
      <w:rFonts w:ascii="Cambria" w:eastAsia="Times New Roman" w:hAnsi="Cambria"/>
      <w:b/>
      <w:bCs/>
      <w:i/>
      <w:iCs/>
      <w:color w:val="4F81BD"/>
    </w:rPr>
  </w:style>
  <w:style w:type="paragraph" w:styleId="Heading5">
    <w:name w:val="heading 5"/>
    <w:basedOn w:val="Normal"/>
    <w:next w:val="Normal"/>
    <w:link w:val="Heading5Char"/>
    <w:uiPriority w:val="9"/>
    <w:unhideWhenUsed/>
    <w:rsid w:val="000229AA"/>
    <w:pPr>
      <w:keepNext/>
      <w:keepLines/>
      <w:spacing w:before="200" w:line="276" w:lineRule="auto"/>
      <w:outlineLvl w:val="4"/>
    </w:pPr>
    <w:rPr>
      <w:rFonts w:asciiTheme="majorHAnsi" w:eastAsiaTheme="majorEastAsia" w:hAnsiTheme="majorHAnsi" w:cstheme="majorBidi"/>
      <w:color w:val="243F60" w:themeColor="accent1" w:themeShade="7F"/>
      <w:sz w:val="22"/>
      <w:lang w:eastAsia="zh-CN"/>
    </w:rPr>
  </w:style>
  <w:style w:type="paragraph" w:styleId="Heading6">
    <w:name w:val="heading 6"/>
    <w:basedOn w:val="Normal"/>
    <w:next w:val="Normal"/>
    <w:link w:val="Heading6Char"/>
    <w:uiPriority w:val="9"/>
    <w:unhideWhenUsed/>
    <w:rsid w:val="000229AA"/>
    <w:pPr>
      <w:keepNext/>
      <w:keepLines/>
      <w:spacing w:before="200" w:line="276" w:lineRule="auto"/>
      <w:outlineLvl w:val="5"/>
    </w:pPr>
    <w:rPr>
      <w:rFonts w:asciiTheme="majorHAnsi" w:eastAsiaTheme="majorEastAsia" w:hAnsiTheme="majorHAnsi" w:cstheme="majorBidi"/>
      <w:i/>
      <w:iCs/>
      <w:color w:val="243F60" w:themeColor="accent1" w:themeShade="7F"/>
      <w:sz w:val="22"/>
      <w:lang w:eastAsia="zh-CN"/>
    </w:rPr>
  </w:style>
  <w:style w:type="paragraph" w:styleId="Heading7">
    <w:name w:val="heading 7"/>
    <w:basedOn w:val="Normal"/>
    <w:next w:val="Normal"/>
    <w:link w:val="Heading7Char"/>
    <w:uiPriority w:val="9"/>
    <w:unhideWhenUsed/>
    <w:rsid w:val="000229AA"/>
    <w:pPr>
      <w:keepNext/>
      <w:keepLines/>
      <w:spacing w:before="200" w:line="276" w:lineRule="auto"/>
      <w:outlineLvl w:val="6"/>
    </w:pPr>
    <w:rPr>
      <w:rFonts w:asciiTheme="majorHAnsi" w:eastAsiaTheme="majorEastAsia" w:hAnsiTheme="majorHAnsi" w:cstheme="majorBidi"/>
      <w:i/>
      <w:iCs/>
      <w:color w:val="404040" w:themeColor="text1" w:themeTint="BF"/>
      <w:sz w:val="22"/>
      <w:lang w:eastAsia="zh-CN"/>
    </w:rPr>
  </w:style>
  <w:style w:type="paragraph" w:styleId="Heading8">
    <w:name w:val="heading 8"/>
    <w:basedOn w:val="Normal"/>
    <w:next w:val="Normal"/>
    <w:link w:val="Heading8Char"/>
    <w:uiPriority w:val="9"/>
    <w:unhideWhenUsed/>
    <w:rsid w:val="000229AA"/>
    <w:pPr>
      <w:keepNext/>
      <w:keepLines/>
      <w:spacing w:before="200" w:line="276" w:lineRule="auto"/>
      <w:outlineLvl w:val="7"/>
    </w:pPr>
    <w:rPr>
      <w:rFonts w:asciiTheme="majorHAnsi" w:eastAsiaTheme="majorEastAsia" w:hAnsiTheme="majorHAnsi" w:cstheme="majorBidi"/>
      <w:color w:val="4F81BD" w:themeColor="accent1"/>
      <w:szCs w:val="20"/>
      <w:lang w:eastAsia="zh-CN"/>
    </w:rPr>
  </w:style>
  <w:style w:type="paragraph" w:styleId="Heading9">
    <w:name w:val="heading 9"/>
    <w:basedOn w:val="Normal"/>
    <w:next w:val="Normal"/>
    <w:link w:val="Heading9Char"/>
    <w:uiPriority w:val="9"/>
    <w:unhideWhenUsed/>
    <w:rsid w:val="000229AA"/>
    <w:pPr>
      <w:keepNext/>
      <w:keepLines/>
      <w:spacing w:before="200" w:line="276" w:lineRule="auto"/>
      <w:outlineLvl w:val="8"/>
    </w:pPr>
    <w:rPr>
      <w:rFonts w:asciiTheme="majorHAnsi" w:eastAsiaTheme="majorEastAsia" w:hAnsiTheme="majorHAnsi" w:cstheme="majorBidi"/>
      <w:i/>
      <w:iCs/>
      <w:color w:val="404040" w:themeColor="text1" w:themeTint="BF"/>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rticle name Char,APA Level 1 Char"/>
    <w:basedOn w:val="DefaultParagraphFont"/>
    <w:link w:val="Heading1"/>
    <w:uiPriority w:val="9"/>
    <w:rsid w:val="00130AC8"/>
    <w:rPr>
      <w:rFonts w:ascii="Cambria" w:eastAsia="Times New Roman" w:hAnsi="Cambria" w:cs="Times New Roman"/>
      <w:b/>
      <w:bCs/>
      <w:color w:val="365F91"/>
      <w:sz w:val="28"/>
      <w:szCs w:val="28"/>
    </w:rPr>
  </w:style>
  <w:style w:type="character" w:customStyle="1" w:styleId="Heading2Char">
    <w:name w:val="Heading 2 Char"/>
    <w:aliases w:val="Heading within article Char,APA Level 2 Char"/>
    <w:basedOn w:val="DefaultParagraphFont"/>
    <w:link w:val="Heading2"/>
    <w:uiPriority w:val="9"/>
    <w:rsid w:val="00130AC8"/>
    <w:rPr>
      <w:rFonts w:ascii="Cambria" w:eastAsia="Times New Roman" w:hAnsi="Cambria" w:cs="Times New Roman"/>
      <w:b/>
      <w:bCs/>
      <w:color w:val="4F81BD"/>
      <w:sz w:val="26"/>
      <w:szCs w:val="26"/>
    </w:rPr>
  </w:style>
  <w:style w:type="character" w:customStyle="1" w:styleId="Heading3Char">
    <w:name w:val="Heading 3 Char"/>
    <w:aliases w:val="Heading 3 - Gordon Char,APA Level 3 Char,APA Heading 3 Char"/>
    <w:basedOn w:val="DefaultParagraphFont"/>
    <w:link w:val="Heading3"/>
    <w:uiPriority w:val="9"/>
    <w:rsid w:val="00130AC8"/>
    <w:rPr>
      <w:rFonts w:ascii="Cambria" w:eastAsia="Times New Roman" w:hAnsi="Cambria" w:cs="Times New Roman"/>
      <w:b/>
      <w:bCs/>
      <w:color w:val="4F81BD"/>
    </w:rPr>
  </w:style>
  <w:style w:type="character" w:customStyle="1" w:styleId="Heading4Char">
    <w:name w:val="Heading 4 Char"/>
    <w:aliases w:val="Heading 4 - Gordon Char,APA Level 4 Char"/>
    <w:basedOn w:val="DefaultParagraphFont"/>
    <w:link w:val="Heading4"/>
    <w:uiPriority w:val="9"/>
    <w:rsid w:val="00130AC8"/>
    <w:rPr>
      <w:rFonts w:ascii="Cambria" w:eastAsia="Times New Roman" w:hAnsi="Cambria" w:cs="Times New Roman"/>
      <w:b/>
      <w:bCs/>
      <w:i/>
      <w:iCs/>
      <w:color w:val="4F81BD"/>
    </w:rPr>
  </w:style>
  <w:style w:type="character" w:customStyle="1" w:styleId="Heading5Char">
    <w:name w:val="Heading 5 Char"/>
    <w:basedOn w:val="DefaultParagraphFont"/>
    <w:link w:val="Heading5"/>
    <w:uiPriority w:val="9"/>
    <w:rsid w:val="000229AA"/>
    <w:rPr>
      <w:rFonts w:asciiTheme="majorHAnsi" w:eastAsiaTheme="majorEastAsia" w:hAnsiTheme="majorHAnsi" w:cstheme="majorBidi"/>
      <w:color w:val="243F60" w:themeColor="accent1" w:themeShade="7F"/>
      <w:sz w:val="22"/>
      <w:szCs w:val="22"/>
      <w:lang w:eastAsia="zh-CN"/>
    </w:rPr>
  </w:style>
  <w:style w:type="character" w:customStyle="1" w:styleId="Heading6Char">
    <w:name w:val="Heading 6 Char"/>
    <w:basedOn w:val="DefaultParagraphFont"/>
    <w:link w:val="Heading6"/>
    <w:uiPriority w:val="9"/>
    <w:rsid w:val="000229AA"/>
    <w:rPr>
      <w:rFonts w:asciiTheme="majorHAnsi" w:eastAsiaTheme="majorEastAsia" w:hAnsiTheme="majorHAnsi" w:cstheme="majorBidi"/>
      <w:i/>
      <w:iCs/>
      <w:color w:val="243F60" w:themeColor="accent1" w:themeShade="7F"/>
      <w:sz w:val="22"/>
      <w:szCs w:val="22"/>
      <w:lang w:eastAsia="zh-CN"/>
    </w:rPr>
  </w:style>
  <w:style w:type="character" w:customStyle="1" w:styleId="Heading7Char">
    <w:name w:val="Heading 7 Char"/>
    <w:basedOn w:val="DefaultParagraphFont"/>
    <w:link w:val="Heading7"/>
    <w:uiPriority w:val="9"/>
    <w:rsid w:val="000229AA"/>
    <w:rPr>
      <w:rFonts w:asciiTheme="majorHAnsi" w:eastAsiaTheme="majorEastAsia" w:hAnsiTheme="majorHAnsi" w:cstheme="majorBidi"/>
      <w:i/>
      <w:iCs/>
      <w:color w:val="404040" w:themeColor="text1" w:themeTint="BF"/>
      <w:sz w:val="22"/>
      <w:szCs w:val="22"/>
      <w:lang w:eastAsia="zh-CN"/>
    </w:rPr>
  </w:style>
  <w:style w:type="character" w:customStyle="1" w:styleId="Heading8Char">
    <w:name w:val="Heading 8 Char"/>
    <w:basedOn w:val="DefaultParagraphFont"/>
    <w:link w:val="Heading8"/>
    <w:uiPriority w:val="9"/>
    <w:rsid w:val="000229AA"/>
    <w:rPr>
      <w:rFonts w:asciiTheme="majorHAnsi" w:eastAsiaTheme="majorEastAsia" w:hAnsiTheme="majorHAnsi" w:cstheme="majorBidi"/>
      <w:color w:val="4F81BD" w:themeColor="accent1"/>
      <w:lang w:eastAsia="zh-CN"/>
    </w:rPr>
  </w:style>
  <w:style w:type="character" w:customStyle="1" w:styleId="Heading9Char">
    <w:name w:val="Heading 9 Char"/>
    <w:basedOn w:val="DefaultParagraphFont"/>
    <w:link w:val="Heading9"/>
    <w:uiPriority w:val="9"/>
    <w:rsid w:val="000229AA"/>
    <w:rPr>
      <w:rFonts w:asciiTheme="majorHAnsi" w:eastAsiaTheme="majorEastAsia" w:hAnsiTheme="majorHAnsi" w:cstheme="majorBidi"/>
      <w:i/>
      <w:iCs/>
      <w:color w:val="404040" w:themeColor="text1" w:themeTint="BF"/>
      <w:lang w:eastAsia="zh-CN"/>
    </w:rPr>
  </w:style>
  <w:style w:type="paragraph" w:customStyle="1" w:styleId="JANZSSAInstitution">
    <w:name w:val="JANZSSA Institution"/>
    <w:basedOn w:val="JANZSSAAuthor"/>
    <w:link w:val="JANZSSAInstitutionChar"/>
    <w:qFormat/>
    <w:rsid w:val="00571F4B"/>
    <w:pPr>
      <w:spacing w:after="120"/>
    </w:pPr>
  </w:style>
  <w:style w:type="paragraph" w:customStyle="1" w:styleId="JANZSSABodyCopy10pt">
    <w:name w:val="JANZSSA Body Copy 10 pt"/>
    <w:basedOn w:val="JANZSSAreferences"/>
    <w:link w:val="JANZSSABodyCopy10ptChar"/>
    <w:qFormat/>
    <w:rsid w:val="00176032"/>
  </w:style>
  <w:style w:type="character" w:customStyle="1" w:styleId="JANZSSAAuthorChar">
    <w:name w:val="JANZSSA Author Char"/>
    <w:basedOn w:val="DefaultParagraphFont"/>
    <w:link w:val="JANZSSAAuthor"/>
    <w:rsid w:val="00571F4B"/>
    <w:rPr>
      <w:rFonts w:ascii="Times New Roman" w:eastAsia="Calibri" w:hAnsi="Times New Roman"/>
      <w:sz w:val="24"/>
      <w:szCs w:val="24"/>
    </w:rPr>
  </w:style>
  <w:style w:type="character" w:customStyle="1" w:styleId="JANZSSAInstitutionChar">
    <w:name w:val="JANZSSA Institution Char"/>
    <w:basedOn w:val="JANZSSAAuthorChar"/>
    <w:link w:val="JANZSSAInstitution"/>
    <w:rsid w:val="00571F4B"/>
    <w:rPr>
      <w:rFonts w:ascii="Times New Roman" w:eastAsia="Calibri" w:hAnsi="Times New Roman"/>
      <w:sz w:val="24"/>
      <w:szCs w:val="24"/>
    </w:rPr>
  </w:style>
  <w:style w:type="paragraph" w:styleId="Header">
    <w:name w:val="header"/>
    <w:basedOn w:val="Normal"/>
    <w:link w:val="HeaderChar"/>
    <w:uiPriority w:val="99"/>
    <w:unhideWhenUsed/>
    <w:rsid w:val="00C95DA5"/>
    <w:pPr>
      <w:tabs>
        <w:tab w:val="center" w:pos="4513"/>
        <w:tab w:val="right" w:pos="9026"/>
      </w:tabs>
    </w:pPr>
  </w:style>
  <w:style w:type="character" w:customStyle="1" w:styleId="JANZSSABodyCopy10ptChar">
    <w:name w:val="JANZSSA Body Copy 10 pt Char"/>
    <w:basedOn w:val="JANZSSABodycopyChar"/>
    <w:link w:val="JANZSSABodyCopy10pt"/>
    <w:rsid w:val="00176032"/>
    <w:rPr>
      <w:rFonts w:ascii="Times New Roman" w:eastAsia="Calibri" w:hAnsi="Times New Roman"/>
      <w:bCs w:val="0"/>
      <w:iCs w:val="0"/>
      <w:sz w:val="24"/>
      <w:szCs w:val="24"/>
      <w:lang w:eastAsia="ja-JP" w:bidi="fa-IR"/>
    </w:rPr>
  </w:style>
  <w:style w:type="character" w:customStyle="1" w:styleId="HeaderChar">
    <w:name w:val="Header Char"/>
    <w:basedOn w:val="DefaultParagraphFont"/>
    <w:link w:val="Header"/>
    <w:uiPriority w:val="99"/>
    <w:rsid w:val="00C95DA5"/>
    <w:rPr>
      <w:rFonts w:ascii="Times New Roman" w:eastAsia="Calibri" w:hAnsi="Times New Roman"/>
      <w:szCs w:val="22"/>
    </w:rPr>
  </w:style>
  <w:style w:type="paragraph" w:customStyle="1" w:styleId="JANZSSAHeader">
    <w:name w:val="JANZSSA Header"/>
    <w:basedOn w:val="Normal"/>
    <w:link w:val="JANZSSAHeaderChar"/>
    <w:qFormat/>
    <w:rsid w:val="00C95DA5"/>
    <w:rPr>
      <w:i/>
      <w:iCs/>
    </w:rPr>
  </w:style>
  <w:style w:type="paragraph" w:customStyle="1" w:styleId="JANZSSARuningHead">
    <w:name w:val="JANZSSA Runing Head"/>
    <w:basedOn w:val="Normal"/>
    <w:link w:val="JANZSSARuningHeadChar"/>
    <w:qFormat/>
    <w:rsid w:val="00C95DA5"/>
    <w:pPr>
      <w:jc w:val="right"/>
    </w:pPr>
    <w:rPr>
      <w:i/>
      <w:iCs/>
    </w:rPr>
  </w:style>
  <w:style w:type="character" w:customStyle="1" w:styleId="JANZSSAHeaderChar">
    <w:name w:val="JANZSSA Header Char"/>
    <w:basedOn w:val="DefaultParagraphFont"/>
    <w:link w:val="JANZSSAHeader"/>
    <w:rsid w:val="00C95DA5"/>
    <w:rPr>
      <w:rFonts w:ascii="Times New Roman" w:eastAsia="Calibri" w:hAnsi="Times New Roman"/>
      <w:i/>
      <w:iCs/>
      <w:szCs w:val="22"/>
    </w:rPr>
  </w:style>
  <w:style w:type="paragraph" w:customStyle="1" w:styleId="JANZSSAFigureTableNumber">
    <w:name w:val="JANZSSA Figure Table Number"/>
    <w:basedOn w:val="JANZSSATableLabel"/>
    <w:link w:val="JANZSSAFigureTableNumberChar"/>
    <w:qFormat/>
    <w:rsid w:val="00C95DA5"/>
    <w:rPr>
      <w:b/>
      <w:bCs/>
      <w:i w:val="0"/>
      <w:iCs w:val="0"/>
    </w:rPr>
  </w:style>
  <w:style w:type="character" w:customStyle="1" w:styleId="JANZSSARuningHeadChar">
    <w:name w:val="JANZSSA Runing Head Char"/>
    <w:basedOn w:val="DefaultParagraphFont"/>
    <w:link w:val="JANZSSARuningHead"/>
    <w:rsid w:val="00C95DA5"/>
    <w:rPr>
      <w:rFonts w:ascii="Times New Roman" w:eastAsia="Calibri" w:hAnsi="Times New Roman"/>
      <w:i/>
      <w:iCs/>
      <w:szCs w:val="22"/>
    </w:rPr>
  </w:style>
  <w:style w:type="paragraph" w:customStyle="1" w:styleId="JANZSSAHeading1">
    <w:name w:val="JANZSSA Heading 1"/>
    <w:basedOn w:val="Heading1"/>
    <w:link w:val="JANZSSAHeading1Char"/>
    <w:autoRedefine/>
    <w:qFormat/>
    <w:rsid w:val="00BB7D85"/>
    <w:pPr>
      <w:spacing w:before="240" w:after="120"/>
    </w:pPr>
    <w:rPr>
      <w:rFonts w:ascii="Times New Roman" w:hAnsi="Times New Roman"/>
      <w:color w:val="auto"/>
      <w:sz w:val="24"/>
      <w:szCs w:val="24"/>
    </w:rPr>
  </w:style>
  <w:style w:type="character" w:customStyle="1" w:styleId="JANZSSAHeading1Char">
    <w:name w:val="JANZSSA Heading 1 Char"/>
    <w:basedOn w:val="Heading1Char"/>
    <w:link w:val="JANZSSAHeading1"/>
    <w:rsid w:val="00BB7D85"/>
    <w:rPr>
      <w:rFonts w:ascii="Times New Roman" w:eastAsia="Times New Roman" w:hAnsi="Times New Roman" w:cs="Times New Roman"/>
      <w:b/>
      <w:bCs/>
      <w:color w:val="365F91"/>
      <w:sz w:val="24"/>
      <w:szCs w:val="24"/>
    </w:rPr>
  </w:style>
  <w:style w:type="character" w:customStyle="1" w:styleId="JANZSSAFigureTableNumberChar">
    <w:name w:val="JANZSSA Figure Table Number Char"/>
    <w:basedOn w:val="JANZSSATableLabelChar"/>
    <w:link w:val="JANZSSAFigureTableNumber"/>
    <w:rsid w:val="00C95DA5"/>
    <w:rPr>
      <w:rFonts w:ascii="Times New Roman" w:eastAsia="Calibri" w:hAnsi="Times New Roman"/>
      <w:b/>
      <w:bCs/>
      <w:i w:val="0"/>
      <w:iCs w:val="0"/>
      <w:noProof/>
      <w:lang w:bidi="bn-IN"/>
    </w:rPr>
  </w:style>
  <w:style w:type="paragraph" w:customStyle="1" w:styleId="JANZSSAArticlehead">
    <w:name w:val="JANZSSA Article head"/>
    <w:basedOn w:val="Normal"/>
    <w:qFormat/>
    <w:rsid w:val="006476FB"/>
    <w:pPr>
      <w:keepNext/>
      <w:tabs>
        <w:tab w:val="left" w:pos="9627"/>
      </w:tabs>
      <w:spacing w:before="120" w:after="120"/>
      <w:jc w:val="center"/>
    </w:pPr>
    <w:rPr>
      <w:b/>
      <w:sz w:val="28"/>
      <w:szCs w:val="28"/>
    </w:rPr>
  </w:style>
  <w:style w:type="paragraph" w:customStyle="1" w:styleId="JANZSSAAuthor">
    <w:name w:val="JANZSSA Author"/>
    <w:basedOn w:val="Normal"/>
    <w:link w:val="JANZSSAAuthorChar"/>
    <w:qFormat/>
    <w:rsid w:val="00667072"/>
    <w:pPr>
      <w:jc w:val="center"/>
    </w:pPr>
    <w:rPr>
      <w:sz w:val="24"/>
      <w:szCs w:val="24"/>
    </w:rPr>
  </w:style>
  <w:style w:type="paragraph" w:customStyle="1" w:styleId="JANZSSAAbstractBody">
    <w:name w:val="JANZSSA Abstract Body"/>
    <w:basedOn w:val="Normal"/>
    <w:link w:val="JANZSSAAbstractBodyChar"/>
    <w:autoRedefine/>
    <w:qFormat/>
    <w:rsid w:val="00B81DCB"/>
    <w:pPr>
      <w:spacing w:before="120" w:after="120"/>
      <w:ind w:left="142" w:right="141"/>
    </w:pPr>
    <w:rPr>
      <w:i/>
      <w:iCs/>
      <w:sz w:val="22"/>
      <w:szCs w:val="20"/>
    </w:rPr>
  </w:style>
  <w:style w:type="character" w:customStyle="1" w:styleId="JANZSSAAbstractBodyChar">
    <w:name w:val="JANZSSA Abstract Body Char"/>
    <w:basedOn w:val="DefaultParagraphFont"/>
    <w:link w:val="JANZSSAAbstractBody"/>
    <w:rsid w:val="00B81DCB"/>
    <w:rPr>
      <w:rFonts w:ascii="Times New Roman" w:eastAsia="Calibri" w:hAnsi="Times New Roman"/>
      <w:i/>
      <w:iCs/>
      <w:sz w:val="22"/>
    </w:rPr>
  </w:style>
  <w:style w:type="paragraph" w:customStyle="1" w:styleId="JANZSSANumberList">
    <w:name w:val="JANZSSA Number List"/>
    <w:basedOn w:val="Normal"/>
    <w:link w:val="JANZSSANumberListChar"/>
    <w:autoRedefine/>
    <w:qFormat/>
    <w:rsid w:val="001C0B3F"/>
    <w:pPr>
      <w:numPr>
        <w:numId w:val="18"/>
      </w:numPr>
      <w:spacing w:before="120" w:after="120"/>
      <w:ind w:left="720"/>
    </w:pPr>
    <w:rPr>
      <w:sz w:val="24"/>
      <w:lang w:eastAsia="ja-JP"/>
    </w:rPr>
  </w:style>
  <w:style w:type="character" w:customStyle="1" w:styleId="JANZSSANumberListChar">
    <w:name w:val="JANZSSA Number List Char"/>
    <w:basedOn w:val="DefaultParagraphFont"/>
    <w:link w:val="JANZSSANumberList"/>
    <w:rsid w:val="001C0B3F"/>
    <w:rPr>
      <w:rFonts w:ascii="Times New Roman" w:eastAsia="Calibri" w:hAnsi="Times New Roman"/>
      <w:sz w:val="24"/>
      <w:szCs w:val="22"/>
      <w:lang w:eastAsia="ja-JP"/>
    </w:rPr>
  </w:style>
  <w:style w:type="paragraph" w:customStyle="1" w:styleId="JANZSSAFootnote">
    <w:name w:val="JANZSSA Footnote"/>
    <w:basedOn w:val="Normal"/>
    <w:qFormat/>
    <w:rsid w:val="00130AC8"/>
    <w:rPr>
      <w:sz w:val="18"/>
      <w:szCs w:val="18"/>
    </w:rPr>
  </w:style>
  <w:style w:type="paragraph" w:customStyle="1" w:styleId="JANZSSABodycopy">
    <w:name w:val="JANZSSA Body copy"/>
    <w:basedOn w:val="Normal"/>
    <w:link w:val="JANZSSABodycopyChar"/>
    <w:autoRedefine/>
    <w:qFormat/>
    <w:rsid w:val="00E80EB2"/>
    <w:pPr>
      <w:spacing w:before="120"/>
    </w:pPr>
    <w:rPr>
      <w:bCs/>
      <w:iCs/>
      <w:sz w:val="24"/>
      <w:szCs w:val="24"/>
      <w:lang w:eastAsia="ja-JP" w:bidi="fa-IR"/>
    </w:rPr>
  </w:style>
  <w:style w:type="character" w:customStyle="1" w:styleId="JANZSSABodycopyChar">
    <w:name w:val="JANZSSA Body copy Char"/>
    <w:basedOn w:val="DefaultParagraphFont"/>
    <w:link w:val="JANZSSABodycopy"/>
    <w:rsid w:val="00E80EB2"/>
    <w:rPr>
      <w:rFonts w:ascii="Times New Roman" w:eastAsia="Calibri" w:hAnsi="Times New Roman"/>
      <w:bCs/>
      <w:iCs/>
      <w:sz w:val="24"/>
      <w:szCs w:val="24"/>
      <w:lang w:eastAsia="ja-JP" w:bidi="fa-IR"/>
    </w:rPr>
  </w:style>
  <w:style w:type="paragraph" w:customStyle="1" w:styleId="JANZSSANumberedheading">
    <w:name w:val="JANZSSA Numbered heading"/>
    <w:basedOn w:val="Normal"/>
    <w:link w:val="JANZSSANumberedheadingChar"/>
    <w:autoRedefine/>
    <w:qFormat/>
    <w:rsid w:val="00571F4B"/>
    <w:pPr>
      <w:keepNext/>
      <w:numPr>
        <w:numId w:val="14"/>
      </w:numPr>
      <w:tabs>
        <w:tab w:val="left" w:pos="360"/>
      </w:tabs>
      <w:spacing w:before="240"/>
      <w:ind w:left="446" w:hanging="446"/>
    </w:pPr>
    <w:rPr>
      <w:b/>
      <w:sz w:val="24"/>
    </w:rPr>
  </w:style>
  <w:style w:type="character" w:customStyle="1" w:styleId="JANZSSANumberedheadingChar">
    <w:name w:val="JANZSSA Numbered heading Char"/>
    <w:basedOn w:val="Heading3Char"/>
    <w:link w:val="JANZSSANumberedheading"/>
    <w:rsid w:val="00CF6448"/>
    <w:rPr>
      <w:rFonts w:ascii="Times New Roman" w:eastAsia="Calibri" w:hAnsi="Times New Roman" w:cs="Times New Roman"/>
      <w:b/>
      <w:bCs w:val="0"/>
      <w:color w:val="4F81BD"/>
      <w:sz w:val="24"/>
      <w:szCs w:val="22"/>
    </w:rPr>
  </w:style>
  <w:style w:type="paragraph" w:customStyle="1" w:styleId="JANZSSAfootnote0">
    <w:name w:val="JANZSSA footnote"/>
    <w:basedOn w:val="Normal"/>
    <w:link w:val="JANZSSAfootnoteChar"/>
    <w:rsid w:val="00104130"/>
    <w:rPr>
      <w:sz w:val="18"/>
      <w:szCs w:val="18"/>
    </w:rPr>
  </w:style>
  <w:style w:type="character" w:customStyle="1" w:styleId="JANZSSAfootnoteChar">
    <w:name w:val="JANZSSA footnote Char"/>
    <w:basedOn w:val="DefaultParagraphFont"/>
    <w:link w:val="JANZSSAfootnote0"/>
    <w:rsid w:val="00104130"/>
    <w:rPr>
      <w:rFonts w:ascii="Times New Roman" w:eastAsia="Calibri" w:hAnsi="Times New Roman" w:cs="Times New Roman"/>
      <w:sz w:val="18"/>
      <w:szCs w:val="18"/>
    </w:rPr>
  </w:style>
  <w:style w:type="paragraph" w:customStyle="1" w:styleId="JANZSSABullet">
    <w:name w:val="JANZSSA Bullet"/>
    <w:basedOn w:val="Normal"/>
    <w:link w:val="JANZSSABulletChar"/>
    <w:autoRedefine/>
    <w:qFormat/>
    <w:rsid w:val="003A73F7"/>
    <w:pPr>
      <w:numPr>
        <w:numId w:val="1"/>
      </w:numPr>
      <w:spacing w:before="120" w:after="120"/>
    </w:pPr>
    <w:rPr>
      <w:sz w:val="24"/>
      <w:szCs w:val="24"/>
      <w:shd w:val="clear" w:color="auto" w:fill="FFFFFF" w:themeFill="background1"/>
    </w:rPr>
  </w:style>
  <w:style w:type="character" w:customStyle="1" w:styleId="JANZSSABulletChar">
    <w:name w:val="JANZSSA Bullet Char"/>
    <w:basedOn w:val="DefaultParagraphFont"/>
    <w:link w:val="JANZSSABullet"/>
    <w:rsid w:val="003A73F7"/>
    <w:rPr>
      <w:rFonts w:ascii="Times New Roman" w:eastAsia="Calibri" w:hAnsi="Times New Roman"/>
      <w:sz w:val="24"/>
      <w:szCs w:val="24"/>
    </w:rPr>
  </w:style>
  <w:style w:type="paragraph" w:customStyle="1" w:styleId="JANZSSAHeading2">
    <w:name w:val="JANZSSA Heading 2"/>
    <w:basedOn w:val="JANZSSAHeading1"/>
    <w:link w:val="JANZSSAHeading2Char"/>
    <w:autoRedefine/>
    <w:qFormat/>
    <w:rsid w:val="00BB7D85"/>
    <w:pPr>
      <w:spacing w:before="120"/>
    </w:pPr>
    <w:rPr>
      <w:rFonts w:eastAsia="Calibri" w:cs="Segoe UI"/>
      <w:bCs w:val="0"/>
      <w:i/>
      <w:shd w:val="clear" w:color="auto" w:fill="FFFFFF"/>
      <w:lang w:val="en"/>
    </w:rPr>
  </w:style>
  <w:style w:type="character" w:customStyle="1" w:styleId="JANZSSAHeading2Char">
    <w:name w:val="JANZSSA Heading 2 Char"/>
    <w:basedOn w:val="DefaultParagraphFont"/>
    <w:link w:val="JANZSSAHeading2"/>
    <w:rsid w:val="00BB7D85"/>
    <w:rPr>
      <w:rFonts w:ascii="Times New Roman" w:eastAsia="Calibri" w:hAnsi="Times New Roman" w:cs="Segoe UI"/>
      <w:b/>
      <w:i/>
      <w:sz w:val="24"/>
      <w:szCs w:val="24"/>
      <w:lang w:val="en"/>
    </w:rPr>
  </w:style>
  <w:style w:type="paragraph" w:customStyle="1" w:styleId="JANZSSAQuote">
    <w:name w:val="JANZSSA Quote"/>
    <w:basedOn w:val="Normal"/>
    <w:link w:val="JANZSSAQuoteChar"/>
    <w:qFormat/>
    <w:rsid w:val="001C0B3F"/>
    <w:pPr>
      <w:spacing w:before="120" w:after="120"/>
      <w:ind w:left="720" w:right="284"/>
    </w:pPr>
    <w:rPr>
      <w:i/>
      <w:iCs/>
      <w:sz w:val="24"/>
      <w:szCs w:val="28"/>
      <w:shd w:val="clear" w:color="auto" w:fill="FFFFFF" w:themeFill="background1"/>
    </w:rPr>
  </w:style>
  <w:style w:type="character" w:customStyle="1" w:styleId="JANZSSAQuoteChar">
    <w:name w:val="JANZSSA Quote Char"/>
    <w:basedOn w:val="DefaultParagraphFont"/>
    <w:link w:val="JANZSSAQuote"/>
    <w:rsid w:val="001C0B3F"/>
    <w:rPr>
      <w:rFonts w:ascii="Times New Roman" w:eastAsia="Calibri" w:hAnsi="Times New Roman"/>
      <w:i/>
      <w:iCs/>
      <w:color w:val="000000"/>
      <w:sz w:val="24"/>
      <w:szCs w:val="28"/>
    </w:rPr>
  </w:style>
  <w:style w:type="paragraph" w:customStyle="1" w:styleId="JANZSSAreferences">
    <w:name w:val="JANZSSA references"/>
    <w:basedOn w:val="Normal"/>
    <w:link w:val="JANZSSAreferencesChar"/>
    <w:qFormat/>
    <w:rsid w:val="007E4397"/>
    <w:pPr>
      <w:spacing w:before="120" w:after="40"/>
      <w:ind w:left="720" w:hanging="720"/>
    </w:pPr>
    <w:rPr>
      <w:szCs w:val="20"/>
    </w:rPr>
  </w:style>
  <w:style w:type="character" w:customStyle="1" w:styleId="JANZSSAreferencesChar">
    <w:name w:val="JANZSSA references Char"/>
    <w:basedOn w:val="DefaultParagraphFont"/>
    <w:link w:val="JANZSSAreferences"/>
    <w:rsid w:val="007E4397"/>
    <w:rPr>
      <w:rFonts w:ascii="Times New Roman" w:eastAsia="Calibri" w:hAnsi="Times New Roman"/>
    </w:rPr>
  </w:style>
  <w:style w:type="table" w:styleId="TableGrid">
    <w:name w:val="Table Grid"/>
    <w:basedOn w:val="TableNormal"/>
    <w:uiPriority w:val="39"/>
    <w:rsid w:val="00270C2D"/>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rsid w:val="00270C2D"/>
    <w:rPr>
      <w:rFonts w:eastAsia="Calibri"/>
      <w:sz w:val="22"/>
      <w:szCs w:val="22"/>
      <w:lang w:val="en-US" w:eastAsia="en-US"/>
    </w:rPr>
  </w:style>
  <w:style w:type="paragraph" w:customStyle="1" w:styleId="JANZSSATableLabel">
    <w:name w:val="JANZSSA Table Label"/>
    <w:basedOn w:val="Normal"/>
    <w:link w:val="JANZSSATableLabelChar"/>
    <w:qFormat/>
    <w:rsid w:val="006A0AF4"/>
    <w:pPr>
      <w:keepNext/>
      <w:tabs>
        <w:tab w:val="left" w:pos="993"/>
      </w:tabs>
      <w:spacing w:before="120" w:after="120"/>
    </w:pPr>
    <w:rPr>
      <w:i/>
      <w:iCs/>
      <w:noProof/>
      <w:szCs w:val="20"/>
      <w:lang w:bidi="bn-IN"/>
    </w:rPr>
  </w:style>
  <w:style w:type="character" w:customStyle="1" w:styleId="JANZSSATableLabelChar">
    <w:name w:val="JANZSSA Table Label Char"/>
    <w:basedOn w:val="DefaultParagraphFont"/>
    <w:link w:val="JANZSSATableLabel"/>
    <w:rsid w:val="006A0AF4"/>
    <w:rPr>
      <w:rFonts w:ascii="Times New Roman" w:eastAsia="Calibri" w:hAnsi="Times New Roman"/>
      <w:i/>
      <w:iCs/>
      <w:noProof/>
      <w:lang w:bidi="bn-IN"/>
    </w:rPr>
  </w:style>
  <w:style w:type="paragraph" w:customStyle="1" w:styleId="JANZSSAHeading3">
    <w:name w:val="JANZSSA Heading 3"/>
    <w:basedOn w:val="JANZSSAHeading2"/>
    <w:link w:val="JANZSSAHeading3Char"/>
    <w:autoRedefine/>
    <w:qFormat/>
    <w:rsid w:val="00BB7D85"/>
    <w:rPr>
      <w:rFonts w:eastAsia="MS Mincho"/>
      <w:b w:val="0"/>
      <w:bCs/>
      <w:lang w:eastAsia="ja-JP"/>
    </w:rPr>
  </w:style>
  <w:style w:type="character" w:customStyle="1" w:styleId="JANZSSAHeading3Char">
    <w:name w:val="JANZSSA Heading 3 Char"/>
    <w:basedOn w:val="JANZSSAHeading2Char"/>
    <w:link w:val="JANZSSAHeading3"/>
    <w:rsid w:val="00BB7D85"/>
    <w:rPr>
      <w:rFonts w:ascii="Times New Roman" w:eastAsia="MS Mincho" w:hAnsi="Times New Roman" w:cs="Segoe UI"/>
      <w:b w:val="0"/>
      <w:bCs/>
      <w:i/>
      <w:sz w:val="24"/>
      <w:szCs w:val="24"/>
      <w:lang w:val="en" w:eastAsia="ja-JP"/>
    </w:rPr>
  </w:style>
  <w:style w:type="paragraph" w:customStyle="1" w:styleId="JANZSSAHeading4">
    <w:name w:val="JANZSSA Heading 4"/>
    <w:basedOn w:val="JANZSSAHeading3"/>
    <w:link w:val="JANZSSAHeading4Char"/>
    <w:autoRedefine/>
    <w:qFormat/>
    <w:rsid w:val="00BB7D85"/>
    <w:rPr>
      <w:bCs w:val="0"/>
      <w:i w:val="0"/>
      <w:iCs/>
      <w:sz w:val="20"/>
      <w:szCs w:val="26"/>
    </w:rPr>
  </w:style>
  <w:style w:type="character" w:customStyle="1" w:styleId="JANZSSAHeading4Char">
    <w:name w:val="JANZSSA Heading 4 Char"/>
    <w:basedOn w:val="JANZSSAHeading3Char"/>
    <w:link w:val="JANZSSAHeading4"/>
    <w:rsid w:val="00BB7D85"/>
    <w:rPr>
      <w:rFonts w:ascii="Times New Roman" w:eastAsia="MS Mincho" w:hAnsi="Times New Roman" w:cs="Segoe UI"/>
      <w:b w:val="0"/>
      <w:bCs w:val="0"/>
      <w:i w:val="0"/>
      <w:iCs/>
      <w:sz w:val="24"/>
      <w:szCs w:val="26"/>
      <w:lang w:val="en" w:eastAsia="ja-JP"/>
    </w:rPr>
  </w:style>
  <w:style w:type="paragraph" w:customStyle="1" w:styleId="JANZSSANumbersItalics">
    <w:name w:val="JANZSSA Numbers Italics"/>
    <w:basedOn w:val="JANZSSANumberList"/>
    <w:link w:val="JANZSSANumbersItalicsChar"/>
    <w:qFormat/>
    <w:rsid w:val="00AA7C01"/>
    <w:pPr>
      <w:numPr>
        <w:numId w:val="3"/>
      </w:numPr>
    </w:pPr>
    <w:rPr>
      <w:i/>
    </w:rPr>
  </w:style>
  <w:style w:type="character" w:customStyle="1" w:styleId="JANZSSANumbersItalicsChar">
    <w:name w:val="JANZSSA Numbers Italics Char"/>
    <w:basedOn w:val="JANZSSANumberListChar"/>
    <w:link w:val="JANZSSANumbersItalics"/>
    <w:rsid w:val="00AA7C01"/>
    <w:rPr>
      <w:rFonts w:ascii="Times New Roman" w:eastAsia="Calibri" w:hAnsi="Times New Roman"/>
      <w:i/>
      <w:sz w:val="24"/>
      <w:szCs w:val="22"/>
      <w:lang w:eastAsia="ja-JP"/>
    </w:rPr>
  </w:style>
  <w:style w:type="table" w:customStyle="1" w:styleId="TableGrid1">
    <w:name w:val="Table Grid1"/>
    <w:basedOn w:val="TableNormal"/>
    <w:next w:val="TableGrid"/>
    <w:uiPriority w:val="39"/>
    <w:rsid w:val="0069517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rsid w:val="00A309FE"/>
    <w:rPr>
      <w:rFonts w:eastAsia="Malgun Gothic"/>
      <w:color w:val="00000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paragraph" w:customStyle="1" w:styleId="JANZSSATableContents">
    <w:name w:val="JANZSSA Table Contents"/>
    <w:basedOn w:val="Normal"/>
    <w:link w:val="JANZSSATableContentsChar"/>
    <w:qFormat/>
    <w:rsid w:val="005B6516"/>
    <w:rPr>
      <w:rFonts w:eastAsiaTheme="minorEastAsia"/>
      <w:szCs w:val="20"/>
      <w:shd w:val="clear" w:color="auto" w:fill="FFFFFF"/>
      <w:lang w:eastAsia="en-US"/>
    </w:rPr>
  </w:style>
  <w:style w:type="character" w:customStyle="1" w:styleId="JANZSSATableContentsChar">
    <w:name w:val="JANZSSA Table Contents Char"/>
    <w:basedOn w:val="DefaultParagraphFont"/>
    <w:link w:val="JANZSSATableContents"/>
    <w:rsid w:val="005B6516"/>
    <w:rPr>
      <w:rFonts w:ascii="Times New Roman" w:eastAsiaTheme="minorEastAsia" w:hAnsi="Times New Roman"/>
      <w:lang w:eastAsia="en-US"/>
    </w:rPr>
  </w:style>
  <w:style w:type="numbering" w:customStyle="1" w:styleId="List0">
    <w:name w:val="List 0"/>
    <w:basedOn w:val="ImportedStyle1"/>
    <w:rsid w:val="00BF21B1"/>
    <w:pPr>
      <w:numPr>
        <w:numId w:val="8"/>
      </w:numPr>
    </w:pPr>
  </w:style>
  <w:style w:type="numbering" w:customStyle="1" w:styleId="ImportedStyle1">
    <w:name w:val="Imported Style 1"/>
    <w:rsid w:val="00BF21B1"/>
    <w:pPr>
      <w:numPr>
        <w:numId w:val="15"/>
      </w:numPr>
    </w:pPr>
  </w:style>
  <w:style w:type="numbering" w:customStyle="1" w:styleId="List1">
    <w:name w:val="List 1"/>
    <w:basedOn w:val="ImportedStyle2"/>
    <w:rsid w:val="00BF21B1"/>
    <w:pPr>
      <w:numPr>
        <w:numId w:val="5"/>
      </w:numPr>
    </w:pPr>
  </w:style>
  <w:style w:type="numbering" w:customStyle="1" w:styleId="ImportedStyle2">
    <w:name w:val="Imported Style 2"/>
    <w:rsid w:val="00BF21B1"/>
  </w:style>
  <w:style w:type="numbering" w:customStyle="1" w:styleId="List21">
    <w:name w:val="List 21"/>
    <w:basedOn w:val="ImportedStyle3"/>
    <w:rsid w:val="00BF21B1"/>
    <w:pPr>
      <w:numPr>
        <w:numId w:val="6"/>
      </w:numPr>
    </w:pPr>
  </w:style>
  <w:style w:type="numbering" w:customStyle="1" w:styleId="ImportedStyle3">
    <w:name w:val="Imported Style 3"/>
    <w:rsid w:val="00BF21B1"/>
  </w:style>
  <w:style w:type="numbering" w:customStyle="1" w:styleId="List31">
    <w:name w:val="List 31"/>
    <w:basedOn w:val="ImportedStyle3"/>
    <w:rsid w:val="00BF21B1"/>
    <w:pPr>
      <w:numPr>
        <w:numId w:val="7"/>
      </w:numPr>
    </w:pPr>
  </w:style>
  <w:style w:type="table" w:styleId="LightShading">
    <w:name w:val="Light Shading"/>
    <w:basedOn w:val="TableNormal"/>
    <w:uiPriority w:val="60"/>
    <w:rsid w:val="00BF21B1"/>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EndnoteTextChar1">
    <w:name w:val="Endnote Text Char1"/>
    <w:basedOn w:val="DefaultParagraphFont"/>
    <w:uiPriority w:val="99"/>
    <w:semiHidden/>
    <w:rsid w:val="005F1652"/>
    <w:rPr>
      <w:rFonts w:ascii="Times New Roman" w:eastAsiaTheme="minorEastAsia" w:hAnsi="Times New Roman"/>
      <w:sz w:val="20"/>
      <w:szCs w:val="20"/>
      <w:lang w:val="en-GB"/>
    </w:rPr>
  </w:style>
  <w:style w:type="table" w:customStyle="1" w:styleId="ANUrowcolumnheader">
    <w:name w:val="ANU row/column header"/>
    <w:basedOn w:val="TableNormal"/>
    <w:uiPriority w:val="99"/>
    <w:rsid w:val="002A5E42"/>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tblStylePr w:type="firstRow">
      <w:rPr>
        <w:b/>
      </w:rPr>
      <w:tblPr/>
      <w:tcPr>
        <w:shd w:val="clear" w:color="auto" w:fill="B8CCE4" w:themeFill="accent1" w:themeFillTint="66"/>
      </w:tcPr>
    </w:tblStylePr>
    <w:tblStylePr w:type="firstCol">
      <w:rPr>
        <w:b/>
      </w:rPr>
      <w:tblPr/>
      <w:tcPr>
        <w:shd w:val="clear" w:color="auto" w:fill="B8CCE4" w:themeFill="accent1" w:themeFillTint="66"/>
      </w:tcPr>
    </w:tblStylePr>
  </w:style>
  <w:style w:type="numbering" w:customStyle="1" w:styleId="Style1">
    <w:name w:val="Style1"/>
    <w:uiPriority w:val="99"/>
    <w:rsid w:val="007570EA"/>
    <w:pPr>
      <w:numPr>
        <w:numId w:val="12"/>
      </w:numPr>
    </w:pPr>
  </w:style>
  <w:style w:type="table" w:customStyle="1" w:styleId="GridTable6Colorful-Accent11">
    <w:name w:val="Grid Table 6 Colorful - Accent 11"/>
    <w:basedOn w:val="TableNormal"/>
    <w:uiPriority w:val="51"/>
    <w:rsid w:val="005C026D"/>
    <w:rPr>
      <w:rFonts w:asciiTheme="minorHAnsi" w:eastAsiaTheme="minorEastAsia" w:hAnsiTheme="minorHAnsi" w:cstheme="minorBidi"/>
      <w:color w:val="365F91" w:themeColor="accent1" w:themeShade="BF"/>
      <w:sz w:val="24"/>
      <w:szCs w:val="24"/>
      <w:lang w:val="en-US"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2">
    <w:name w:val="Table Grid2"/>
    <w:basedOn w:val="TableNormal"/>
    <w:next w:val="TableGrid"/>
    <w:uiPriority w:val="59"/>
    <w:rsid w:val="005C026D"/>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1">
    <w:name w:val="Grid Table 5 Dark1"/>
    <w:basedOn w:val="TableNormal"/>
    <w:uiPriority w:val="50"/>
    <w:rsid w:val="002D477D"/>
    <w:rPr>
      <w:rFonts w:asciiTheme="minorHAnsi" w:eastAsiaTheme="minorHAnsi" w:hAnsiTheme="minorHAnsi" w:cstheme="minorBidi"/>
      <w:sz w:val="22"/>
      <w:szCs w:val="22"/>
      <w:lang w:val="en-NZ"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z-BottomofForm">
    <w:name w:val="HTML Bottom of Form"/>
    <w:basedOn w:val="Normal"/>
    <w:next w:val="Normal"/>
    <w:link w:val="z-BottomofFormChar"/>
    <w:hidden/>
    <w:uiPriority w:val="99"/>
    <w:semiHidden/>
    <w:unhideWhenUsed/>
    <w:rsid w:val="005A505A"/>
    <w:pPr>
      <w:pBdr>
        <w:top w:val="single" w:sz="6" w:space="1" w:color="auto"/>
      </w:pBdr>
      <w:jc w:val="center"/>
    </w:pPr>
    <w:rPr>
      <w:rFonts w:ascii="Arial" w:eastAsia="MS Mincho" w:hAnsi="Arial" w:cs="Arial"/>
      <w:vanish/>
      <w:sz w:val="16"/>
      <w:szCs w:val="16"/>
      <w:lang w:val="en-US" w:eastAsia="en-US"/>
    </w:rPr>
  </w:style>
  <w:style w:type="character" w:customStyle="1" w:styleId="z-BottomofFormChar">
    <w:name w:val="z-Bottom of Form Char"/>
    <w:basedOn w:val="DefaultParagraphFont"/>
    <w:link w:val="z-BottomofForm"/>
    <w:uiPriority w:val="99"/>
    <w:semiHidden/>
    <w:rsid w:val="005A505A"/>
    <w:rPr>
      <w:rFonts w:ascii="Arial" w:eastAsia="MS Mincho" w:hAnsi="Arial" w:cs="Arial"/>
      <w:vanish/>
      <w:sz w:val="16"/>
      <w:szCs w:val="16"/>
      <w:lang w:val="en-US" w:eastAsia="en-US"/>
    </w:rPr>
  </w:style>
  <w:style w:type="character" w:customStyle="1" w:styleId="UnresolvedMention3">
    <w:name w:val="Unresolved Mention3"/>
    <w:basedOn w:val="DefaultParagraphFont"/>
    <w:uiPriority w:val="99"/>
    <w:semiHidden/>
    <w:unhideWhenUsed/>
    <w:rsid w:val="00686C9C"/>
    <w:rPr>
      <w:color w:val="808080"/>
      <w:shd w:val="clear" w:color="auto" w:fill="E6E6E6"/>
    </w:rPr>
  </w:style>
  <w:style w:type="character" w:customStyle="1" w:styleId="UnresolvedMention31">
    <w:name w:val="Unresolved Mention31"/>
    <w:basedOn w:val="DefaultParagraphFont"/>
    <w:uiPriority w:val="99"/>
    <w:semiHidden/>
    <w:unhideWhenUsed/>
    <w:rsid w:val="002275C5"/>
    <w:rPr>
      <w:color w:val="808080"/>
      <w:shd w:val="clear" w:color="auto" w:fill="E6E6E6"/>
    </w:rPr>
  </w:style>
  <w:style w:type="table" w:customStyle="1" w:styleId="GridTable1Light-Accent11">
    <w:name w:val="Grid Table 1 Light - Accent 11"/>
    <w:basedOn w:val="TableNormal"/>
    <w:uiPriority w:val="46"/>
    <w:rsid w:val="008D5E3E"/>
    <w:rPr>
      <w:rFonts w:asciiTheme="minorHAnsi" w:eastAsiaTheme="minorEastAsia" w:hAnsiTheme="minorHAnsi" w:cstheme="minorBidi"/>
      <w:sz w:val="22"/>
      <w:szCs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UnresolvedMention4">
    <w:name w:val="Unresolved Mention4"/>
    <w:basedOn w:val="DefaultParagraphFont"/>
    <w:uiPriority w:val="99"/>
    <w:semiHidden/>
    <w:unhideWhenUsed/>
    <w:rsid w:val="003E3E3B"/>
    <w:rPr>
      <w:color w:val="605E5C"/>
      <w:shd w:val="clear" w:color="auto" w:fill="E1DFDD"/>
    </w:rPr>
  </w:style>
  <w:style w:type="character" w:customStyle="1" w:styleId="UnresolvedMention5">
    <w:name w:val="Unresolved Mention5"/>
    <w:basedOn w:val="DefaultParagraphFont"/>
    <w:uiPriority w:val="99"/>
    <w:semiHidden/>
    <w:unhideWhenUsed/>
    <w:rsid w:val="00810B6F"/>
    <w:rPr>
      <w:color w:val="605E5C"/>
      <w:shd w:val="clear" w:color="auto" w:fill="E1DFDD"/>
    </w:rPr>
  </w:style>
  <w:style w:type="character" w:styleId="PlaceholderText">
    <w:name w:val="Placeholder Text"/>
    <w:basedOn w:val="DefaultParagraphFont"/>
    <w:uiPriority w:val="99"/>
    <w:semiHidden/>
    <w:rsid w:val="00177ECC"/>
    <w:rPr>
      <w:color w:val="808080"/>
    </w:rPr>
  </w:style>
  <w:style w:type="character" w:customStyle="1" w:styleId="UnresolvedMention6">
    <w:name w:val="Unresolved Mention6"/>
    <w:basedOn w:val="DefaultParagraphFont"/>
    <w:uiPriority w:val="99"/>
    <w:semiHidden/>
    <w:unhideWhenUsed/>
    <w:rsid w:val="00A04B4E"/>
    <w:rPr>
      <w:color w:val="605E5C"/>
      <w:shd w:val="clear" w:color="auto" w:fill="E1DFDD"/>
    </w:rPr>
  </w:style>
  <w:style w:type="character" w:styleId="UnresolvedMention">
    <w:name w:val="Unresolved Mention"/>
    <w:basedOn w:val="DefaultParagraphFont"/>
    <w:uiPriority w:val="99"/>
    <w:semiHidden/>
    <w:unhideWhenUsed/>
    <w:rsid w:val="00682618"/>
    <w:rPr>
      <w:color w:val="605E5C"/>
      <w:shd w:val="clear" w:color="auto" w:fill="E1DFDD"/>
    </w:rPr>
  </w:style>
  <w:style w:type="paragraph" w:customStyle="1" w:styleId="JANZSSAFooter">
    <w:name w:val="JANZSSA Footer"/>
    <w:basedOn w:val="Normal"/>
    <w:link w:val="JANZSSAFooterChar"/>
    <w:qFormat/>
    <w:rsid w:val="00D17AB6"/>
    <w:pPr>
      <w:tabs>
        <w:tab w:val="center" w:pos="4973"/>
        <w:tab w:val="right" w:pos="9927"/>
      </w:tabs>
      <w:autoSpaceDE w:val="0"/>
      <w:autoSpaceDN w:val="0"/>
      <w:spacing w:before="120"/>
      <w:ind w:right="360" w:firstLine="360"/>
      <w:contextualSpacing/>
      <w:jc w:val="center"/>
    </w:pPr>
    <w:rPr>
      <w:i/>
      <w:iCs/>
      <w:sz w:val="18"/>
      <w:szCs w:val="18"/>
    </w:rPr>
  </w:style>
  <w:style w:type="paragraph" w:customStyle="1" w:styleId="JANZSSAHeading5">
    <w:name w:val="JANZSSA Heading 5"/>
    <w:basedOn w:val="JANZSSAHeading4"/>
    <w:link w:val="JANZSSAHeading5Char"/>
    <w:rsid w:val="00C95DA5"/>
    <w:rPr>
      <w:b/>
      <w:bCs/>
      <w:i/>
      <w:iCs w:val="0"/>
      <w:szCs w:val="20"/>
    </w:rPr>
  </w:style>
  <w:style w:type="character" w:customStyle="1" w:styleId="JANZSSAFooterChar">
    <w:name w:val="JANZSSA Footer Char"/>
    <w:basedOn w:val="DefaultParagraphFont"/>
    <w:link w:val="JANZSSAFooter"/>
    <w:rsid w:val="00D17AB6"/>
    <w:rPr>
      <w:rFonts w:ascii="Times New Roman" w:eastAsia="Calibri" w:hAnsi="Times New Roman"/>
      <w:i/>
      <w:iCs/>
      <w:sz w:val="18"/>
      <w:szCs w:val="18"/>
    </w:rPr>
  </w:style>
  <w:style w:type="character" w:customStyle="1" w:styleId="JANZSSAHeading5Char">
    <w:name w:val="JANZSSA Heading 5 Char"/>
    <w:basedOn w:val="JANZSSATableContentsChar"/>
    <w:link w:val="JANZSSAHeading5"/>
    <w:rsid w:val="00C95DA5"/>
    <w:rPr>
      <w:rFonts w:ascii="Times New Roman" w:eastAsia="MS Mincho" w:hAnsi="Times New Roman" w:cs="Segoe UI"/>
      <w:b/>
      <w:bCs/>
      <w:lang w:val="en" w:eastAsia="ja-JP"/>
    </w:rPr>
  </w:style>
  <w:style w:type="character" w:styleId="Strong">
    <w:name w:val="Strong"/>
    <w:basedOn w:val="DefaultParagraphFont"/>
    <w:uiPriority w:val="22"/>
    <w:qFormat/>
    <w:rsid w:val="00E80EB2"/>
    <w:rPr>
      <w:b/>
      <w:bCs/>
    </w:rPr>
  </w:style>
  <w:style w:type="character" w:styleId="Emphasis">
    <w:name w:val="Emphasis"/>
    <w:basedOn w:val="DefaultParagraphFont"/>
    <w:uiPriority w:val="20"/>
    <w:qFormat/>
    <w:rsid w:val="00E80EB2"/>
    <w:rPr>
      <w:i/>
      <w:iCs/>
    </w:rPr>
  </w:style>
  <w:style w:type="paragraph" w:customStyle="1" w:styleId="font-claude-response-body">
    <w:name w:val="font-claude-response-body"/>
    <w:basedOn w:val="Normal"/>
    <w:rsid w:val="00E80EB2"/>
    <w:pPr>
      <w:spacing w:before="100" w:beforeAutospacing="1" w:after="100" w:afterAutospacing="1"/>
    </w:pPr>
    <w:rPr>
      <w:rFonts w:eastAsia="Times New Roman"/>
      <w:sz w:val="24"/>
      <w:szCs w:val="24"/>
      <w:lang w:val="en-IN" w:eastAsia="en-GB"/>
    </w:rPr>
  </w:style>
  <w:style w:type="character" w:styleId="Hyperlink">
    <w:name w:val="Hyperlink"/>
    <w:basedOn w:val="DefaultParagraphFont"/>
    <w:uiPriority w:val="99"/>
    <w:unhideWhenUsed/>
    <w:rsid w:val="00E80EB2"/>
    <w:rPr>
      <w:color w:val="0000FF" w:themeColor="hyperlink"/>
      <w:u w:val="single"/>
    </w:rPr>
  </w:style>
  <w:style w:type="paragraph" w:customStyle="1" w:styleId="nuc-modal-bodycitation-content">
    <w:name w:val="nuc-modal-body__citation-content"/>
    <w:basedOn w:val="Normal"/>
    <w:rsid w:val="00E80EB2"/>
    <w:pPr>
      <w:spacing w:before="100" w:beforeAutospacing="1" w:after="100" w:afterAutospacing="1"/>
    </w:pPr>
    <w:rPr>
      <w:rFonts w:eastAsia="Times New Roman"/>
      <w:sz w:val="24"/>
      <w:szCs w:val="24"/>
      <w:lang w:val="en-IN" w:eastAsia="en-GB"/>
    </w:rPr>
  </w:style>
  <w:style w:type="character" w:styleId="CommentReference">
    <w:name w:val="annotation reference"/>
    <w:basedOn w:val="DefaultParagraphFont"/>
    <w:uiPriority w:val="99"/>
    <w:semiHidden/>
    <w:unhideWhenUsed/>
    <w:rsid w:val="00E80EB2"/>
    <w:rPr>
      <w:sz w:val="16"/>
      <w:szCs w:val="16"/>
    </w:rPr>
  </w:style>
  <w:style w:type="paragraph" w:styleId="CommentText">
    <w:name w:val="annotation text"/>
    <w:basedOn w:val="Normal"/>
    <w:link w:val="CommentTextChar"/>
    <w:uiPriority w:val="99"/>
    <w:unhideWhenUsed/>
    <w:rsid w:val="00E80EB2"/>
    <w:rPr>
      <w:szCs w:val="20"/>
    </w:rPr>
  </w:style>
  <w:style w:type="character" w:customStyle="1" w:styleId="CommentTextChar">
    <w:name w:val="Comment Text Char"/>
    <w:basedOn w:val="DefaultParagraphFont"/>
    <w:link w:val="CommentText"/>
    <w:uiPriority w:val="99"/>
    <w:rsid w:val="00E80EB2"/>
    <w:rPr>
      <w:rFonts w:ascii="Times New Roman" w:eastAsia="Calibri" w:hAnsi="Times New Roman"/>
    </w:rPr>
  </w:style>
  <w:style w:type="paragraph" w:styleId="CommentSubject">
    <w:name w:val="annotation subject"/>
    <w:basedOn w:val="CommentText"/>
    <w:next w:val="CommentText"/>
    <w:link w:val="CommentSubjectChar"/>
    <w:uiPriority w:val="99"/>
    <w:semiHidden/>
    <w:unhideWhenUsed/>
    <w:rsid w:val="00E80EB2"/>
    <w:rPr>
      <w:b/>
      <w:bCs/>
    </w:rPr>
  </w:style>
  <w:style w:type="character" w:customStyle="1" w:styleId="CommentSubjectChar">
    <w:name w:val="Comment Subject Char"/>
    <w:basedOn w:val="CommentTextChar"/>
    <w:link w:val="CommentSubject"/>
    <w:uiPriority w:val="99"/>
    <w:semiHidden/>
    <w:rsid w:val="00E80EB2"/>
    <w:rPr>
      <w:rFonts w:ascii="Times New Roman" w:eastAsia="Calibri" w:hAnsi="Times New Roman"/>
      <w:b/>
      <w:bCs/>
    </w:rPr>
  </w:style>
  <w:style w:type="character" w:styleId="FollowedHyperlink">
    <w:name w:val="FollowedHyperlink"/>
    <w:basedOn w:val="DefaultParagraphFont"/>
    <w:uiPriority w:val="99"/>
    <w:semiHidden/>
    <w:unhideWhenUsed/>
    <w:rsid w:val="004D4C0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27123">
      <w:bodyDiv w:val="1"/>
      <w:marLeft w:val="0"/>
      <w:marRight w:val="0"/>
      <w:marTop w:val="0"/>
      <w:marBottom w:val="0"/>
      <w:divBdr>
        <w:top w:val="none" w:sz="0" w:space="0" w:color="auto"/>
        <w:left w:val="none" w:sz="0" w:space="0" w:color="auto"/>
        <w:bottom w:val="none" w:sz="0" w:space="0" w:color="auto"/>
        <w:right w:val="none" w:sz="0" w:space="0" w:color="auto"/>
      </w:divBdr>
    </w:div>
    <w:div w:id="34816285">
      <w:bodyDiv w:val="1"/>
      <w:marLeft w:val="0"/>
      <w:marRight w:val="0"/>
      <w:marTop w:val="0"/>
      <w:marBottom w:val="0"/>
      <w:divBdr>
        <w:top w:val="none" w:sz="0" w:space="0" w:color="auto"/>
        <w:left w:val="none" w:sz="0" w:space="0" w:color="auto"/>
        <w:bottom w:val="none" w:sz="0" w:space="0" w:color="auto"/>
        <w:right w:val="none" w:sz="0" w:space="0" w:color="auto"/>
      </w:divBdr>
    </w:div>
    <w:div w:id="135489262">
      <w:bodyDiv w:val="1"/>
      <w:marLeft w:val="0"/>
      <w:marRight w:val="0"/>
      <w:marTop w:val="0"/>
      <w:marBottom w:val="0"/>
      <w:divBdr>
        <w:top w:val="none" w:sz="0" w:space="0" w:color="auto"/>
        <w:left w:val="none" w:sz="0" w:space="0" w:color="auto"/>
        <w:bottom w:val="none" w:sz="0" w:space="0" w:color="auto"/>
        <w:right w:val="none" w:sz="0" w:space="0" w:color="auto"/>
      </w:divBdr>
    </w:div>
    <w:div w:id="155810159">
      <w:bodyDiv w:val="1"/>
      <w:marLeft w:val="0"/>
      <w:marRight w:val="0"/>
      <w:marTop w:val="0"/>
      <w:marBottom w:val="0"/>
      <w:divBdr>
        <w:top w:val="none" w:sz="0" w:space="0" w:color="auto"/>
        <w:left w:val="none" w:sz="0" w:space="0" w:color="auto"/>
        <w:bottom w:val="none" w:sz="0" w:space="0" w:color="auto"/>
        <w:right w:val="none" w:sz="0" w:space="0" w:color="auto"/>
      </w:divBdr>
    </w:div>
    <w:div w:id="206727696">
      <w:bodyDiv w:val="1"/>
      <w:marLeft w:val="0"/>
      <w:marRight w:val="0"/>
      <w:marTop w:val="0"/>
      <w:marBottom w:val="0"/>
      <w:divBdr>
        <w:top w:val="none" w:sz="0" w:space="0" w:color="auto"/>
        <w:left w:val="none" w:sz="0" w:space="0" w:color="auto"/>
        <w:bottom w:val="none" w:sz="0" w:space="0" w:color="auto"/>
        <w:right w:val="none" w:sz="0" w:space="0" w:color="auto"/>
      </w:divBdr>
    </w:div>
    <w:div w:id="267854028">
      <w:bodyDiv w:val="1"/>
      <w:marLeft w:val="0"/>
      <w:marRight w:val="0"/>
      <w:marTop w:val="0"/>
      <w:marBottom w:val="0"/>
      <w:divBdr>
        <w:top w:val="none" w:sz="0" w:space="0" w:color="auto"/>
        <w:left w:val="none" w:sz="0" w:space="0" w:color="auto"/>
        <w:bottom w:val="none" w:sz="0" w:space="0" w:color="auto"/>
        <w:right w:val="none" w:sz="0" w:space="0" w:color="auto"/>
      </w:divBdr>
    </w:div>
    <w:div w:id="278489634">
      <w:bodyDiv w:val="1"/>
      <w:marLeft w:val="0"/>
      <w:marRight w:val="0"/>
      <w:marTop w:val="0"/>
      <w:marBottom w:val="0"/>
      <w:divBdr>
        <w:top w:val="none" w:sz="0" w:space="0" w:color="auto"/>
        <w:left w:val="none" w:sz="0" w:space="0" w:color="auto"/>
        <w:bottom w:val="none" w:sz="0" w:space="0" w:color="auto"/>
        <w:right w:val="none" w:sz="0" w:space="0" w:color="auto"/>
      </w:divBdr>
      <w:divsChild>
        <w:div w:id="21366859">
          <w:marLeft w:val="0"/>
          <w:marRight w:val="0"/>
          <w:marTop w:val="0"/>
          <w:marBottom w:val="0"/>
          <w:divBdr>
            <w:top w:val="none" w:sz="0" w:space="0" w:color="auto"/>
            <w:left w:val="none" w:sz="0" w:space="0" w:color="auto"/>
            <w:bottom w:val="none" w:sz="0" w:space="0" w:color="auto"/>
            <w:right w:val="none" w:sz="0" w:space="0" w:color="auto"/>
          </w:divBdr>
        </w:div>
        <w:div w:id="56902453">
          <w:marLeft w:val="0"/>
          <w:marRight w:val="0"/>
          <w:marTop w:val="0"/>
          <w:marBottom w:val="0"/>
          <w:divBdr>
            <w:top w:val="none" w:sz="0" w:space="0" w:color="auto"/>
            <w:left w:val="none" w:sz="0" w:space="0" w:color="auto"/>
            <w:bottom w:val="none" w:sz="0" w:space="0" w:color="auto"/>
            <w:right w:val="none" w:sz="0" w:space="0" w:color="auto"/>
          </w:divBdr>
        </w:div>
        <w:div w:id="115678343">
          <w:marLeft w:val="0"/>
          <w:marRight w:val="0"/>
          <w:marTop w:val="0"/>
          <w:marBottom w:val="0"/>
          <w:divBdr>
            <w:top w:val="none" w:sz="0" w:space="0" w:color="auto"/>
            <w:left w:val="none" w:sz="0" w:space="0" w:color="auto"/>
            <w:bottom w:val="none" w:sz="0" w:space="0" w:color="auto"/>
            <w:right w:val="none" w:sz="0" w:space="0" w:color="auto"/>
          </w:divBdr>
        </w:div>
        <w:div w:id="291599342">
          <w:marLeft w:val="0"/>
          <w:marRight w:val="0"/>
          <w:marTop w:val="0"/>
          <w:marBottom w:val="0"/>
          <w:divBdr>
            <w:top w:val="none" w:sz="0" w:space="0" w:color="auto"/>
            <w:left w:val="none" w:sz="0" w:space="0" w:color="auto"/>
            <w:bottom w:val="none" w:sz="0" w:space="0" w:color="auto"/>
            <w:right w:val="none" w:sz="0" w:space="0" w:color="auto"/>
          </w:divBdr>
        </w:div>
        <w:div w:id="314723421">
          <w:marLeft w:val="0"/>
          <w:marRight w:val="0"/>
          <w:marTop w:val="0"/>
          <w:marBottom w:val="0"/>
          <w:divBdr>
            <w:top w:val="none" w:sz="0" w:space="0" w:color="auto"/>
            <w:left w:val="none" w:sz="0" w:space="0" w:color="auto"/>
            <w:bottom w:val="none" w:sz="0" w:space="0" w:color="auto"/>
            <w:right w:val="none" w:sz="0" w:space="0" w:color="auto"/>
          </w:divBdr>
        </w:div>
        <w:div w:id="345326141">
          <w:marLeft w:val="0"/>
          <w:marRight w:val="0"/>
          <w:marTop w:val="0"/>
          <w:marBottom w:val="0"/>
          <w:divBdr>
            <w:top w:val="none" w:sz="0" w:space="0" w:color="auto"/>
            <w:left w:val="none" w:sz="0" w:space="0" w:color="auto"/>
            <w:bottom w:val="none" w:sz="0" w:space="0" w:color="auto"/>
            <w:right w:val="none" w:sz="0" w:space="0" w:color="auto"/>
          </w:divBdr>
        </w:div>
        <w:div w:id="361711812">
          <w:marLeft w:val="0"/>
          <w:marRight w:val="0"/>
          <w:marTop w:val="0"/>
          <w:marBottom w:val="0"/>
          <w:divBdr>
            <w:top w:val="none" w:sz="0" w:space="0" w:color="auto"/>
            <w:left w:val="none" w:sz="0" w:space="0" w:color="auto"/>
            <w:bottom w:val="none" w:sz="0" w:space="0" w:color="auto"/>
            <w:right w:val="none" w:sz="0" w:space="0" w:color="auto"/>
          </w:divBdr>
        </w:div>
        <w:div w:id="367603891">
          <w:marLeft w:val="0"/>
          <w:marRight w:val="0"/>
          <w:marTop w:val="0"/>
          <w:marBottom w:val="0"/>
          <w:divBdr>
            <w:top w:val="none" w:sz="0" w:space="0" w:color="auto"/>
            <w:left w:val="none" w:sz="0" w:space="0" w:color="auto"/>
            <w:bottom w:val="none" w:sz="0" w:space="0" w:color="auto"/>
            <w:right w:val="none" w:sz="0" w:space="0" w:color="auto"/>
          </w:divBdr>
        </w:div>
        <w:div w:id="387338564">
          <w:marLeft w:val="0"/>
          <w:marRight w:val="0"/>
          <w:marTop w:val="0"/>
          <w:marBottom w:val="0"/>
          <w:divBdr>
            <w:top w:val="none" w:sz="0" w:space="0" w:color="auto"/>
            <w:left w:val="none" w:sz="0" w:space="0" w:color="auto"/>
            <w:bottom w:val="none" w:sz="0" w:space="0" w:color="auto"/>
            <w:right w:val="none" w:sz="0" w:space="0" w:color="auto"/>
          </w:divBdr>
        </w:div>
        <w:div w:id="404769280">
          <w:marLeft w:val="0"/>
          <w:marRight w:val="0"/>
          <w:marTop w:val="0"/>
          <w:marBottom w:val="0"/>
          <w:divBdr>
            <w:top w:val="none" w:sz="0" w:space="0" w:color="auto"/>
            <w:left w:val="none" w:sz="0" w:space="0" w:color="auto"/>
            <w:bottom w:val="none" w:sz="0" w:space="0" w:color="auto"/>
            <w:right w:val="none" w:sz="0" w:space="0" w:color="auto"/>
          </w:divBdr>
        </w:div>
        <w:div w:id="410278069">
          <w:marLeft w:val="0"/>
          <w:marRight w:val="0"/>
          <w:marTop w:val="0"/>
          <w:marBottom w:val="0"/>
          <w:divBdr>
            <w:top w:val="none" w:sz="0" w:space="0" w:color="auto"/>
            <w:left w:val="none" w:sz="0" w:space="0" w:color="auto"/>
            <w:bottom w:val="none" w:sz="0" w:space="0" w:color="auto"/>
            <w:right w:val="none" w:sz="0" w:space="0" w:color="auto"/>
          </w:divBdr>
        </w:div>
        <w:div w:id="414205511">
          <w:marLeft w:val="0"/>
          <w:marRight w:val="0"/>
          <w:marTop w:val="0"/>
          <w:marBottom w:val="0"/>
          <w:divBdr>
            <w:top w:val="none" w:sz="0" w:space="0" w:color="auto"/>
            <w:left w:val="none" w:sz="0" w:space="0" w:color="auto"/>
            <w:bottom w:val="none" w:sz="0" w:space="0" w:color="auto"/>
            <w:right w:val="none" w:sz="0" w:space="0" w:color="auto"/>
          </w:divBdr>
        </w:div>
        <w:div w:id="415398188">
          <w:marLeft w:val="0"/>
          <w:marRight w:val="0"/>
          <w:marTop w:val="0"/>
          <w:marBottom w:val="0"/>
          <w:divBdr>
            <w:top w:val="none" w:sz="0" w:space="0" w:color="auto"/>
            <w:left w:val="none" w:sz="0" w:space="0" w:color="auto"/>
            <w:bottom w:val="none" w:sz="0" w:space="0" w:color="auto"/>
            <w:right w:val="none" w:sz="0" w:space="0" w:color="auto"/>
          </w:divBdr>
        </w:div>
        <w:div w:id="443041227">
          <w:marLeft w:val="0"/>
          <w:marRight w:val="0"/>
          <w:marTop w:val="0"/>
          <w:marBottom w:val="0"/>
          <w:divBdr>
            <w:top w:val="none" w:sz="0" w:space="0" w:color="auto"/>
            <w:left w:val="none" w:sz="0" w:space="0" w:color="auto"/>
            <w:bottom w:val="none" w:sz="0" w:space="0" w:color="auto"/>
            <w:right w:val="none" w:sz="0" w:space="0" w:color="auto"/>
          </w:divBdr>
        </w:div>
        <w:div w:id="457531327">
          <w:marLeft w:val="0"/>
          <w:marRight w:val="0"/>
          <w:marTop w:val="0"/>
          <w:marBottom w:val="0"/>
          <w:divBdr>
            <w:top w:val="none" w:sz="0" w:space="0" w:color="auto"/>
            <w:left w:val="none" w:sz="0" w:space="0" w:color="auto"/>
            <w:bottom w:val="none" w:sz="0" w:space="0" w:color="auto"/>
            <w:right w:val="none" w:sz="0" w:space="0" w:color="auto"/>
          </w:divBdr>
        </w:div>
        <w:div w:id="490486843">
          <w:marLeft w:val="0"/>
          <w:marRight w:val="0"/>
          <w:marTop w:val="0"/>
          <w:marBottom w:val="0"/>
          <w:divBdr>
            <w:top w:val="none" w:sz="0" w:space="0" w:color="auto"/>
            <w:left w:val="none" w:sz="0" w:space="0" w:color="auto"/>
            <w:bottom w:val="none" w:sz="0" w:space="0" w:color="auto"/>
            <w:right w:val="none" w:sz="0" w:space="0" w:color="auto"/>
          </w:divBdr>
        </w:div>
        <w:div w:id="498735041">
          <w:marLeft w:val="0"/>
          <w:marRight w:val="0"/>
          <w:marTop w:val="0"/>
          <w:marBottom w:val="0"/>
          <w:divBdr>
            <w:top w:val="none" w:sz="0" w:space="0" w:color="auto"/>
            <w:left w:val="none" w:sz="0" w:space="0" w:color="auto"/>
            <w:bottom w:val="none" w:sz="0" w:space="0" w:color="auto"/>
            <w:right w:val="none" w:sz="0" w:space="0" w:color="auto"/>
          </w:divBdr>
        </w:div>
        <w:div w:id="557787723">
          <w:marLeft w:val="0"/>
          <w:marRight w:val="0"/>
          <w:marTop w:val="0"/>
          <w:marBottom w:val="0"/>
          <w:divBdr>
            <w:top w:val="none" w:sz="0" w:space="0" w:color="auto"/>
            <w:left w:val="none" w:sz="0" w:space="0" w:color="auto"/>
            <w:bottom w:val="none" w:sz="0" w:space="0" w:color="auto"/>
            <w:right w:val="none" w:sz="0" w:space="0" w:color="auto"/>
          </w:divBdr>
        </w:div>
        <w:div w:id="609123003">
          <w:marLeft w:val="0"/>
          <w:marRight w:val="0"/>
          <w:marTop w:val="0"/>
          <w:marBottom w:val="0"/>
          <w:divBdr>
            <w:top w:val="none" w:sz="0" w:space="0" w:color="auto"/>
            <w:left w:val="none" w:sz="0" w:space="0" w:color="auto"/>
            <w:bottom w:val="none" w:sz="0" w:space="0" w:color="auto"/>
            <w:right w:val="none" w:sz="0" w:space="0" w:color="auto"/>
          </w:divBdr>
        </w:div>
        <w:div w:id="611789721">
          <w:marLeft w:val="0"/>
          <w:marRight w:val="0"/>
          <w:marTop w:val="0"/>
          <w:marBottom w:val="0"/>
          <w:divBdr>
            <w:top w:val="none" w:sz="0" w:space="0" w:color="auto"/>
            <w:left w:val="none" w:sz="0" w:space="0" w:color="auto"/>
            <w:bottom w:val="none" w:sz="0" w:space="0" w:color="auto"/>
            <w:right w:val="none" w:sz="0" w:space="0" w:color="auto"/>
          </w:divBdr>
        </w:div>
        <w:div w:id="616328090">
          <w:marLeft w:val="0"/>
          <w:marRight w:val="0"/>
          <w:marTop w:val="0"/>
          <w:marBottom w:val="0"/>
          <w:divBdr>
            <w:top w:val="none" w:sz="0" w:space="0" w:color="auto"/>
            <w:left w:val="none" w:sz="0" w:space="0" w:color="auto"/>
            <w:bottom w:val="none" w:sz="0" w:space="0" w:color="auto"/>
            <w:right w:val="none" w:sz="0" w:space="0" w:color="auto"/>
          </w:divBdr>
        </w:div>
        <w:div w:id="631401570">
          <w:marLeft w:val="0"/>
          <w:marRight w:val="0"/>
          <w:marTop w:val="0"/>
          <w:marBottom w:val="0"/>
          <w:divBdr>
            <w:top w:val="none" w:sz="0" w:space="0" w:color="auto"/>
            <w:left w:val="none" w:sz="0" w:space="0" w:color="auto"/>
            <w:bottom w:val="none" w:sz="0" w:space="0" w:color="auto"/>
            <w:right w:val="none" w:sz="0" w:space="0" w:color="auto"/>
          </w:divBdr>
        </w:div>
        <w:div w:id="631521778">
          <w:marLeft w:val="0"/>
          <w:marRight w:val="0"/>
          <w:marTop w:val="0"/>
          <w:marBottom w:val="0"/>
          <w:divBdr>
            <w:top w:val="none" w:sz="0" w:space="0" w:color="auto"/>
            <w:left w:val="none" w:sz="0" w:space="0" w:color="auto"/>
            <w:bottom w:val="none" w:sz="0" w:space="0" w:color="auto"/>
            <w:right w:val="none" w:sz="0" w:space="0" w:color="auto"/>
          </w:divBdr>
        </w:div>
        <w:div w:id="692192504">
          <w:marLeft w:val="0"/>
          <w:marRight w:val="0"/>
          <w:marTop w:val="0"/>
          <w:marBottom w:val="0"/>
          <w:divBdr>
            <w:top w:val="none" w:sz="0" w:space="0" w:color="auto"/>
            <w:left w:val="none" w:sz="0" w:space="0" w:color="auto"/>
            <w:bottom w:val="none" w:sz="0" w:space="0" w:color="auto"/>
            <w:right w:val="none" w:sz="0" w:space="0" w:color="auto"/>
          </w:divBdr>
        </w:div>
        <w:div w:id="702680611">
          <w:marLeft w:val="0"/>
          <w:marRight w:val="0"/>
          <w:marTop w:val="0"/>
          <w:marBottom w:val="0"/>
          <w:divBdr>
            <w:top w:val="none" w:sz="0" w:space="0" w:color="auto"/>
            <w:left w:val="none" w:sz="0" w:space="0" w:color="auto"/>
            <w:bottom w:val="none" w:sz="0" w:space="0" w:color="auto"/>
            <w:right w:val="none" w:sz="0" w:space="0" w:color="auto"/>
          </w:divBdr>
        </w:div>
        <w:div w:id="747271903">
          <w:marLeft w:val="0"/>
          <w:marRight w:val="0"/>
          <w:marTop w:val="0"/>
          <w:marBottom w:val="0"/>
          <w:divBdr>
            <w:top w:val="none" w:sz="0" w:space="0" w:color="auto"/>
            <w:left w:val="none" w:sz="0" w:space="0" w:color="auto"/>
            <w:bottom w:val="none" w:sz="0" w:space="0" w:color="auto"/>
            <w:right w:val="none" w:sz="0" w:space="0" w:color="auto"/>
          </w:divBdr>
        </w:div>
        <w:div w:id="786241392">
          <w:marLeft w:val="0"/>
          <w:marRight w:val="0"/>
          <w:marTop w:val="0"/>
          <w:marBottom w:val="0"/>
          <w:divBdr>
            <w:top w:val="none" w:sz="0" w:space="0" w:color="auto"/>
            <w:left w:val="none" w:sz="0" w:space="0" w:color="auto"/>
            <w:bottom w:val="none" w:sz="0" w:space="0" w:color="auto"/>
            <w:right w:val="none" w:sz="0" w:space="0" w:color="auto"/>
          </w:divBdr>
        </w:div>
        <w:div w:id="813906989">
          <w:marLeft w:val="0"/>
          <w:marRight w:val="0"/>
          <w:marTop w:val="0"/>
          <w:marBottom w:val="0"/>
          <w:divBdr>
            <w:top w:val="none" w:sz="0" w:space="0" w:color="auto"/>
            <w:left w:val="none" w:sz="0" w:space="0" w:color="auto"/>
            <w:bottom w:val="none" w:sz="0" w:space="0" w:color="auto"/>
            <w:right w:val="none" w:sz="0" w:space="0" w:color="auto"/>
          </w:divBdr>
        </w:div>
        <w:div w:id="879785811">
          <w:marLeft w:val="0"/>
          <w:marRight w:val="0"/>
          <w:marTop w:val="0"/>
          <w:marBottom w:val="0"/>
          <w:divBdr>
            <w:top w:val="none" w:sz="0" w:space="0" w:color="auto"/>
            <w:left w:val="none" w:sz="0" w:space="0" w:color="auto"/>
            <w:bottom w:val="none" w:sz="0" w:space="0" w:color="auto"/>
            <w:right w:val="none" w:sz="0" w:space="0" w:color="auto"/>
          </w:divBdr>
        </w:div>
        <w:div w:id="985010083">
          <w:marLeft w:val="0"/>
          <w:marRight w:val="0"/>
          <w:marTop w:val="0"/>
          <w:marBottom w:val="0"/>
          <w:divBdr>
            <w:top w:val="none" w:sz="0" w:space="0" w:color="auto"/>
            <w:left w:val="none" w:sz="0" w:space="0" w:color="auto"/>
            <w:bottom w:val="none" w:sz="0" w:space="0" w:color="auto"/>
            <w:right w:val="none" w:sz="0" w:space="0" w:color="auto"/>
          </w:divBdr>
        </w:div>
        <w:div w:id="1034883398">
          <w:marLeft w:val="0"/>
          <w:marRight w:val="0"/>
          <w:marTop w:val="0"/>
          <w:marBottom w:val="0"/>
          <w:divBdr>
            <w:top w:val="none" w:sz="0" w:space="0" w:color="auto"/>
            <w:left w:val="none" w:sz="0" w:space="0" w:color="auto"/>
            <w:bottom w:val="none" w:sz="0" w:space="0" w:color="auto"/>
            <w:right w:val="none" w:sz="0" w:space="0" w:color="auto"/>
          </w:divBdr>
        </w:div>
        <w:div w:id="1056394849">
          <w:marLeft w:val="0"/>
          <w:marRight w:val="0"/>
          <w:marTop w:val="0"/>
          <w:marBottom w:val="0"/>
          <w:divBdr>
            <w:top w:val="none" w:sz="0" w:space="0" w:color="auto"/>
            <w:left w:val="none" w:sz="0" w:space="0" w:color="auto"/>
            <w:bottom w:val="none" w:sz="0" w:space="0" w:color="auto"/>
            <w:right w:val="none" w:sz="0" w:space="0" w:color="auto"/>
          </w:divBdr>
        </w:div>
        <w:div w:id="1058088999">
          <w:marLeft w:val="0"/>
          <w:marRight w:val="0"/>
          <w:marTop w:val="0"/>
          <w:marBottom w:val="0"/>
          <w:divBdr>
            <w:top w:val="none" w:sz="0" w:space="0" w:color="auto"/>
            <w:left w:val="none" w:sz="0" w:space="0" w:color="auto"/>
            <w:bottom w:val="none" w:sz="0" w:space="0" w:color="auto"/>
            <w:right w:val="none" w:sz="0" w:space="0" w:color="auto"/>
          </w:divBdr>
        </w:div>
        <w:div w:id="1096710080">
          <w:marLeft w:val="0"/>
          <w:marRight w:val="0"/>
          <w:marTop w:val="0"/>
          <w:marBottom w:val="0"/>
          <w:divBdr>
            <w:top w:val="none" w:sz="0" w:space="0" w:color="auto"/>
            <w:left w:val="none" w:sz="0" w:space="0" w:color="auto"/>
            <w:bottom w:val="none" w:sz="0" w:space="0" w:color="auto"/>
            <w:right w:val="none" w:sz="0" w:space="0" w:color="auto"/>
          </w:divBdr>
        </w:div>
        <w:div w:id="1104229601">
          <w:marLeft w:val="0"/>
          <w:marRight w:val="0"/>
          <w:marTop w:val="0"/>
          <w:marBottom w:val="0"/>
          <w:divBdr>
            <w:top w:val="none" w:sz="0" w:space="0" w:color="auto"/>
            <w:left w:val="none" w:sz="0" w:space="0" w:color="auto"/>
            <w:bottom w:val="none" w:sz="0" w:space="0" w:color="auto"/>
            <w:right w:val="none" w:sz="0" w:space="0" w:color="auto"/>
          </w:divBdr>
        </w:div>
        <w:div w:id="1122769691">
          <w:marLeft w:val="0"/>
          <w:marRight w:val="0"/>
          <w:marTop w:val="0"/>
          <w:marBottom w:val="0"/>
          <w:divBdr>
            <w:top w:val="none" w:sz="0" w:space="0" w:color="auto"/>
            <w:left w:val="none" w:sz="0" w:space="0" w:color="auto"/>
            <w:bottom w:val="none" w:sz="0" w:space="0" w:color="auto"/>
            <w:right w:val="none" w:sz="0" w:space="0" w:color="auto"/>
          </w:divBdr>
        </w:div>
        <w:div w:id="1231618331">
          <w:marLeft w:val="0"/>
          <w:marRight w:val="0"/>
          <w:marTop w:val="0"/>
          <w:marBottom w:val="0"/>
          <w:divBdr>
            <w:top w:val="none" w:sz="0" w:space="0" w:color="auto"/>
            <w:left w:val="none" w:sz="0" w:space="0" w:color="auto"/>
            <w:bottom w:val="none" w:sz="0" w:space="0" w:color="auto"/>
            <w:right w:val="none" w:sz="0" w:space="0" w:color="auto"/>
          </w:divBdr>
        </w:div>
        <w:div w:id="1235627883">
          <w:marLeft w:val="0"/>
          <w:marRight w:val="0"/>
          <w:marTop w:val="0"/>
          <w:marBottom w:val="0"/>
          <w:divBdr>
            <w:top w:val="none" w:sz="0" w:space="0" w:color="auto"/>
            <w:left w:val="none" w:sz="0" w:space="0" w:color="auto"/>
            <w:bottom w:val="none" w:sz="0" w:space="0" w:color="auto"/>
            <w:right w:val="none" w:sz="0" w:space="0" w:color="auto"/>
          </w:divBdr>
        </w:div>
        <w:div w:id="1277982791">
          <w:marLeft w:val="0"/>
          <w:marRight w:val="0"/>
          <w:marTop w:val="0"/>
          <w:marBottom w:val="0"/>
          <w:divBdr>
            <w:top w:val="none" w:sz="0" w:space="0" w:color="auto"/>
            <w:left w:val="none" w:sz="0" w:space="0" w:color="auto"/>
            <w:bottom w:val="none" w:sz="0" w:space="0" w:color="auto"/>
            <w:right w:val="none" w:sz="0" w:space="0" w:color="auto"/>
          </w:divBdr>
        </w:div>
        <w:div w:id="1305965675">
          <w:marLeft w:val="0"/>
          <w:marRight w:val="0"/>
          <w:marTop w:val="0"/>
          <w:marBottom w:val="0"/>
          <w:divBdr>
            <w:top w:val="none" w:sz="0" w:space="0" w:color="auto"/>
            <w:left w:val="none" w:sz="0" w:space="0" w:color="auto"/>
            <w:bottom w:val="none" w:sz="0" w:space="0" w:color="auto"/>
            <w:right w:val="none" w:sz="0" w:space="0" w:color="auto"/>
          </w:divBdr>
        </w:div>
        <w:div w:id="1320306244">
          <w:marLeft w:val="0"/>
          <w:marRight w:val="0"/>
          <w:marTop w:val="0"/>
          <w:marBottom w:val="0"/>
          <w:divBdr>
            <w:top w:val="none" w:sz="0" w:space="0" w:color="auto"/>
            <w:left w:val="none" w:sz="0" w:space="0" w:color="auto"/>
            <w:bottom w:val="none" w:sz="0" w:space="0" w:color="auto"/>
            <w:right w:val="none" w:sz="0" w:space="0" w:color="auto"/>
          </w:divBdr>
        </w:div>
        <w:div w:id="1362170969">
          <w:marLeft w:val="0"/>
          <w:marRight w:val="0"/>
          <w:marTop w:val="0"/>
          <w:marBottom w:val="0"/>
          <w:divBdr>
            <w:top w:val="none" w:sz="0" w:space="0" w:color="auto"/>
            <w:left w:val="none" w:sz="0" w:space="0" w:color="auto"/>
            <w:bottom w:val="none" w:sz="0" w:space="0" w:color="auto"/>
            <w:right w:val="none" w:sz="0" w:space="0" w:color="auto"/>
          </w:divBdr>
        </w:div>
        <w:div w:id="1549075448">
          <w:marLeft w:val="0"/>
          <w:marRight w:val="0"/>
          <w:marTop w:val="0"/>
          <w:marBottom w:val="0"/>
          <w:divBdr>
            <w:top w:val="none" w:sz="0" w:space="0" w:color="auto"/>
            <w:left w:val="none" w:sz="0" w:space="0" w:color="auto"/>
            <w:bottom w:val="none" w:sz="0" w:space="0" w:color="auto"/>
            <w:right w:val="none" w:sz="0" w:space="0" w:color="auto"/>
          </w:divBdr>
        </w:div>
        <w:div w:id="1549143418">
          <w:marLeft w:val="0"/>
          <w:marRight w:val="0"/>
          <w:marTop w:val="0"/>
          <w:marBottom w:val="0"/>
          <w:divBdr>
            <w:top w:val="none" w:sz="0" w:space="0" w:color="auto"/>
            <w:left w:val="none" w:sz="0" w:space="0" w:color="auto"/>
            <w:bottom w:val="none" w:sz="0" w:space="0" w:color="auto"/>
            <w:right w:val="none" w:sz="0" w:space="0" w:color="auto"/>
          </w:divBdr>
        </w:div>
        <w:div w:id="1551262033">
          <w:marLeft w:val="0"/>
          <w:marRight w:val="0"/>
          <w:marTop w:val="0"/>
          <w:marBottom w:val="0"/>
          <w:divBdr>
            <w:top w:val="none" w:sz="0" w:space="0" w:color="auto"/>
            <w:left w:val="none" w:sz="0" w:space="0" w:color="auto"/>
            <w:bottom w:val="none" w:sz="0" w:space="0" w:color="auto"/>
            <w:right w:val="none" w:sz="0" w:space="0" w:color="auto"/>
          </w:divBdr>
        </w:div>
        <w:div w:id="1653555830">
          <w:marLeft w:val="0"/>
          <w:marRight w:val="0"/>
          <w:marTop w:val="0"/>
          <w:marBottom w:val="0"/>
          <w:divBdr>
            <w:top w:val="none" w:sz="0" w:space="0" w:color="auto"/>
            <w:left w:val="none" w:sz="0" w:space="0" w:color="auto"/>
            <w:bottom w:val="none" w:sz="0" w:space="0" w:color="auto"/>
            <w:right w:val="none" w:sz="0" w:space="0" w:color="auto"/>
          </w:divBdr>
        </w:div>
        <w:div w:id="1684866457">
          <w:marLeft w:val="0"/>
          <w:marRight w:val="0"/>
          <w:marTop w:val="0"/>
          <w:marBottom w:val="0"/>
          <w:divBdr>
            <w:top w:val="none" w:sz="0" w:space="0" w:color="auto"/>
            <w:left w:val="none" w:sz="0" w:space="0" w:color="auto"/>
            <w:bottom w:val="none" w:sz="0" w:space="0" w:color="auto"/>
            <w:right w:val="none" w:sz="0" w:space="0" w:color="auto"/>
          </w:divBdr>
        </w:div>
        <w:div w:id="1685742158">
          <w:marLeft w:val="0"/>
          <w:marRight w:val="0"/>
          <w:marTop w:val="0"/>
          <w:marBottom w:val="0"/>
          <w:divBdr>
            <w:top w:val="none" w:sz="0" w:space="0" w:color="auto"/>
            <w:left w:val="none" w:sz="0" w:space="0" w:color="auto"/>
            <w:bottom w:val="none" w:sz="0" w:space="0" w:color="auto"/>
            <w:right w:val="none" w:sz="0" w:space="0" w:color="auto"/>
          </w:divBdr>
        </w:div>
        <w:div w:id="1712220522">
          <w:marLeft w:val="0"/>
          <w:marRight w:val="0"/>
          <w:marTop w:val="0"/>
          <w:marBottom w:val="0"/>
          <w:divBdr>
            <w:top w:val="none" w:sz="0" w:space="0" w:color="auto"/>
            <w:left w:val="none" w:sz="0" w:space="0" w:color="auto"/>
            <w:bottom w:val="none" w:sz="0" w:space="0" w:color="auto"/>
            <w:right w:val="none" w:sz="0" w:space="0" w:color="auto"/>
          </w:divBdr>
        </w:div>
        <w:div w:id="1738086653">
          <w:marLeft w:val="0"/>
          <w:marRight w:val="0"/>
          <w:marTop w:val="0"/>
          <w:marBottom w:val="0"/>
          <w:divBdr>
            <w:top w:val="none" w:sz="0" w:space="0" w:color="auto"/>
            <w:left w:val="none" w:sz="0" w:space="0" w:color="auto"/>
            <w:bottom w:val="none" w:sz="0" w:space="0" w:color="auto"/>
            <w:right w:val="none" w:sz="0" w:space="0" w:color="auto"/>
          </w:divBdr>
        </w:div>
        <w:div w:id="1749375969">
          <w:marLeft w:val="0"/>
          <w:marRight w:val="0"/>
          <w:marTop w:val="0"/>
          <w:marBottom w:val="0"/>
          <w:divBdr>
            <w:top w:val="none" w:sz="0" w:space="0" w:color="auto"/>
            <w:left w:val="none" w:sz="0" w:space="0" w:color="auto"/>
            <w:bottom w:val="none" w:sz="0" w:space="0" w:color="auto"/>
            <w:right w:val="none" w:sz="0" w:space="0" w:color="auto"/>
          </w:divBdr>
        </w:div>
        <w:div w:id="1837305043">
          <w:marLeft w:val="0"/>
          <w:marRight w:val="0"/>
          <w:marTop w:val="0"/>
          <w:marBottom w:val="0"/>
          <w:divBdr>
            <w:top w:val="none" w:sz="0" w:space="0" w:color="auto"/>
            <w:left w:val="none" w:sz="0" w:space="0" w:color="auto"/>
            <w:bottom w:val="none" w:sz="0" w:space="0" w:color="auto"/>
            <w:right w:val="none" w:sz="0" w:space="0" w:color="auto"/>
          </w:divBdr>
        </w:div>
        <w:div w:id="1930459279">
          <w:marLeft w:val="0"/>
          <w:marRight w:val="0"/>
          <w:marTop w:val="0"/>
          <w:marBottom w:val="0"/>
          <w:divBdr>
            <w:top w:val="none" w:sz="0" w:space="0" w:color="auto"/>
            <w:left w:val="none" w:sz="0" w:space="0" w:color="auto"/>
            <w:bottom w:val="none" w:sz="0" w:space="0" w:color="auto"/>
            <w:right w:val="none" w:sz="0" w:space="0" w:color="auto"/>
          </w:divBdr>
        </w:div>
        <w:div w:id="1965697192">
          <w:marLeft w:val="0"/>
          <w:marRight w:val="0"/>
          <w:marTop w:val="0"/>
          <w:marBottom w:val="0"/>
          <w:divBdr>
            <w:top w:val="none" w:sz="0" w:space="0" w:color="auto"/>
            <w:left w:val="none" w:sz="0" w:space="0" w:color="auto"/>
            <w:bottom w:val="none" w:sz="0" w:space="0" w:color="auto"/>
            <w:right w:val="none" w:sz="0" w:space="0" w:color="auto"/>
          </w:divBdr>
        </w:div>
        <w:div w:id="2020808863">
          <w:marLeft w:val="0"/>
          <w:marRight w:val="0"/>
          <w:marTop w:val="0"/>
          <w:marBottom w:val="0"/>
          <w:divBdr>
            <w:top w:val="none" w:sz="0" w:space="0" w:color="auto"/>
            <w:left w:val="none" w:sz="0" w:space="0" w:color="auto"/>
            <w:bottom w:val="none" w:sz="0" w:space="0" w:color="auto"/>
            <w:right w:val="none" w:sz="0" w:space="0" w:color="auto"/>
          </w:divBdr>
        </w:div>
        <w:div w:id="2050911117">
          <w:marLeft w:val="0"/>
          <w:marRight w:val="0"/>
          <w:marTop w:val="0"/>
          <w:marBottom w:val="0"/>
          <w:divBdr>
            <w:top w:val="none" w:sz="0" w:space="0" w:color="auto"/>
            <w:left w:val="none" w:sz="0" w:space="0" w:color="auto"/>
            <w:bottom w:val="none" w:sz="0" w:space="0" w:color="auto"/>
            <w:right w:val="none" w:sz="0" w:space="0" w:color="auto"/>
          </w:divBdr>
        </w:div>
        <w:div w:id="2058503047">
          <w:marLeft w:val="0"/>
          <w:marRight w:val="0"/>
          <w:marTop w:val="0"/>
          <w:marBottom w:val="0"/>
          <w:divBdr>
            <w:top w:val="none" w:sz="0" w:space="0" w:color="auto"/>
            <w:left w:val="none" w:sz="0" w:space="0" w:color="auto"/>
            <w:bottom w:val="none" w:sz="0" w:space="0" w:color="auto"/>
            <w:right w:val="none" w:sz="0" w:space="0" w:color="auto"/>
          </w:divBdr>
        </w:div>
        <w:div w:id="2083983618">
          <w:marLeft w:val="0"/>
          <w:marRight w:val="0"/>
          <w:marTop w:val="0"/>
          <w:marBottom w:val="0"/>
          <w:divBdr>
            <w:top w:val="none" w:sz="0" w:space="0" w:color="auto"/>
            <w:left w:val="none" w:sz="0" w:space="0" w:color="auto"/>
            <w:bottom w:val="none" w:sz="0" w:space="0" w:color="auto"/>
            <w:right w:val="none" w:sz="0" w:space="0" w:color="auto"/>
          </w:divBdr>
        </w:div>
        <w:div w:id="2100177453">
          <w:marLeft w:val="0"/>
          <w:marRight w:val="0"/>
          <w:marTop w:val="0"/>
          <w:marBottom w:val="0"/>
          <w:divBdr>
            <w:top w:val="none" w:sz="0" w:space="0" w:color="auto"/>
            <w:left w:val="none" w:sz="0" w:space="0" w:color="auto"/>
            <w:bottom w:val="none" w:sz="0" w:space="0" w:color="auto"/>
            <w:right w:val="none" w:sz="0" w:space="0" w:color="auto"/>
          </w:divBdr>
        </w:div>
        <w:div w:id="2110543138">
          <w:marLeft w:val="0"/>
          <w:marRight w:val="0"/>
          <w:marTop w:val="0"/>
          <w:marBottom w:val="0"/>
          <w:divBdr>
            <w:top w:val="none" w:sz="0" w:space="0" w:color="auto"/>
            <w:left w:val="none" w:sz="0" w:space="0" w:color="auto"/>
            <w:bottom w:val="none" w:sz="0" w:space="0" w:color="auto"/>
            <w:right w:val="none" w:sz="0" w:space="0" w:color="auto"/>
          </w:divBdr>
        </w:div>
      </w:divsChild>
    </w:div>
    <w:div w:id="330760233">
      <w:bodyDiv w:val="1"/>
      <w:marLeft w:val="0"/>
      <w:marRight w:val="0"/>
      <w:marTop w:val="0"/>
      <w:marBottom w:val="0"/>
      <w:divBdr>
        <w:top w:val="none" w:sz="0" w:space="0" w:color="auto"/>
        <w:left w:val="none" w:sz="0" w:space="0" w:color="auto"/>
        <w:bottom w:val="none" w:sz="0" w:space="0" w:color="auto"/>
        <w:right w:val="none" w:sz="0" w:space="0" w:color="auto"/>
      </w:divBdr>
    </w:div>
    <w:div w:id="343900045">
      <w:bodyDiv w:val="1"/>
      <w:marLeft w:val="0"/>
      <w:marRight w:val="0"/>
      <w:marTop w:val="0"/>
      <w:marBottom w:val="0"/>
      <w:divBdr>
        <w:top w:val="none" w:sz="0" w:space="0" w:color="auto"/>
        <w:left w:val="none" w:sz="0" w:space="0" w:color="auto"/>
        <w:bottom w:val="none" w:sz="0" w:space="0" w:color="auto"/>
        <w:right w:val="none" w:sz="0" w:space="0" w:color="auto"/>
      </w:divBdr>
    </w:div>
    <w:div w:id="366834122">
      <w:bodyDiv w:val="1"/>
      <w:marLeft w:val="0"/>
      <w:marRight w:val="0"/>
      <w:marTop w:val="0"/>
      <w:marBottom w:val="0"/>
      <w:divBdr>
        <w:top w:val="none" w:sz="0" w:space="0" w:color="auto"/>
        <w:left w:val="none" w:sz="0" w:space="0" w:color="auto"/>
        <w:bottom w:val="none" w:sz="0" w:space="0" w:color="auto"/>
        <w:right w:val="none" w:sz="0" w:space="0" w:color="auto"/>
      </w:divBdr>
      <w:divsChild>
        <w:div w:id="314526612">
          <w:marLeft w:val="0"/>
          <w:marRight w:val="0"/>
          <w:marTop w:val="0"/>
          <w:marBottom w:val="0"/>
          <w:divBdr>
            <w:top w:val="none" w:sz="0" w:space="0" w:color="auto"/>
            <w:left w:val="none" w:sz="0" w:space="0" w:color="auto"/>
            <w:bottom w:val="none" w:sz="0" w:space="0" w:color="auto"/>
            <w:right w:val="none" w:sz="0" w:space="0" w:color="auto"/>
          </w:divBdr>
        </w:div>
      </w:divsChild>
    </w:div>
    <w:div w:id="369456197">
      <w:bodyDiv w:val="1"/>
      <w:marLeft w:val="0"/>
      <w:marRight w:val="0"/>
      <w:marTop w:val="0"/>
      <w:marBottom w:val="0"/>
      <w:divBdr>
        <w:top w:val="none" w:sz="0" w:space="0" w:color="auto"/>
        <w:left w:val="none" w:sz="0" w:space="0" w:color="auto"/>
        <w:bottom w:val="none" w:sz="0" w:space="0" w:color="auto"/>
        <w:right w:val="none" w:sz="0" w:space="0" w:color="auto"/>
      </w:divBdr>
      <w:divsChild>
        <w:div w:id="141702348">
          <w:marLeft w:val="0"/>
          <w:marRight w:val="0"/>
          <w:marTop w:val="0"/>
          <w:marBottom w:val="0"/>
          <w:divBdr>
            <w:top w:val="none" w:sz="0" w:space="0" w:color="auto"/>
            <w:left w:val="none" w:sz="0" w:space="0" w:color="auto"/>
            <w:bottom w:val="none" w:sz="0" w:space="0" w:color="auto"/>
            <w:right w:val="none" w:sz="0" w:space="0" w:color="auto"/>
          </w:divBdr>
        </w:div>
        <w:div w:id="234053489">
          <w:marLeft w:val="0"/>
          <w:marRight w:val="0"/>
          <w:marTop w:val="0"/>
          <w:marBottom w:val="0"/>
          <w:divBdr>
            <w:top w:val="none" w:sz="0" w:space="0" w:color="auto"/>
            <w:left w:val="none" w:sz="0" w:space="0" w:color="auto"/>
            <w:bottom w:val="none" w:sz="0" w:space="0" w:color="auto"/>
            <w:right w:val="none" w:sz="0" w:space="0" w:color="auto"/>
          </w:divBdr>
        </w:div>
        <w:div w:id="285502582">
          <w:marLeft w:val="0"/>
          <w:marRight w:val="0"/>
          <w:marTop w:val="0"/>
          <w:marBottom w:val="0"/>
          <w:divBdr>
            <w:top w:val="none" w:sz="0" w:space="0" w:color="auto"/>
            <w:left w:val="none" w:sz="0" w:space="0" w:color="auto"/>
            <w:bottom w:val="none" w:sz="0" w:space="0" w:color="auto"/>
            <w:right w:val="none" w:sz="0" w:space="0" w:color="auto"/>
          </w:divBdr>
        </w:div>
        <w:div w:id="383255141">
          <w:marLeft w:val="0"/>
          <w:marRight w:val="0"/>
          <w:marTop w:val="0"/>
          <w:marBottom w:val="0"/>
          <w:divBdr>
            <w:top w:val="none" w:sz="0" w:space="0" w:color="auto"/>
            <w:left w:val="none" w:sz="0" w:space="0" w:color="auto"/>
            <w:bottom w:val="none" w:sz="0" w:space="0" w:color="auto"/>
            <w:right w:val="none" w:sz="0" w:space="0" w:color="auto"/>
          </w:divBdr>
        </w:div>
        <w:div w:id="391119391">
          <w:marLeft w:val="0"/>
          <w:marRight w:val="0"/>
          <w:marTop w:val="0"/>
          <w:marBottom w:val="0"/>
          <w:divBdr>
            <w:top w:val="none" w:sz="0" w:space="0" w:color="auto"/>
            <w:left w:val="none" w:sz="0" w:space="0" w:color="auto"/>
            <w:bottom w:val="none" w:sz="0" w:space="0" w:color="auto"/>
            <w:right w:val="none" w:sz="0" w:space="0" w:color="auto"/>
          </w:divBdr>
        </w:div>
        <w:div w:id="488207059">
          <w:marLeft w:val="0"/>
          <w:marRight w:val="0"/>
          <w:marTop w:val="0"/>
          <w:marBottom w:val="0"/>
          <w:divBdr>
            <w:top w:val="none" w:sz="0" w:space="0" w:color="auto"/>
            <w:left w:val="none" w:sz="0" w:space="0" w:color="auto"/>
            <w:bottom w:val="none" w:sz="0" w:space="0" w:color="auto"/>
            <w:right w:val="none" w:sz="0" w:space="0" w:color="auto"/>
          </w:divBdr>
        </w:div>
        <w:div w:id="580332103">
          <w:marLeft w:val="0"/>
          <w:marRight w:val="0"/>
          <w:marTop w:val="0"/>
          <w:marBottom w:val="0"/>
          <w:divBdr>
            <w:top w:val="none" w:sz="0" w:space="0" w:color="auto"/>
            <w:left w:val="none" w:sz="0" w:space="0" w:color="auto"/>
            <w:bottom w:val="none" w:sz="0" w:space="0" w:color="auto"/>
            <w:right w:val="none" w:sz="0" w:space="0" w:color="auto"/>
          </w:divBdr>
        </w:div>
        <w:div w:id="616563917">
          <w:marLeft w:val="0"/>
          <w:marRight w:val="0"/>
          <w:marTop w:val="0"/>
          <w:marBottom w:val="0"/>
          <w:divBdr>
            <w:top w:val="none" w:sz="0" w:space="0" w:color="auto"/>
            <w:left w:val="none" w:sz="0" w:space="0" w:color="auto"/>
            <w:bottom w:val="none" w:sz="0" w:space="0" w:color="auto"/>
            <w:right w:val="none" w:sz="0" w:space="0" w:color="auto"/>
          </w:divBdr>
        </w:div>
        <w:div w:id="686563241">
          <w:marLeft w:val="0"/>
          <w:marRight w:val="0"/>
          <w:marTop w:val="0"/>
          <w:marBottom w:val="0"/>
          <w:divBdr>
            <w:top w:val="none" w:sz="0" w:space="0" w:color="auto"/>
            <w:left w:val="none" w:sz="0" w:space="0" w:color="auto"/>
            <w:bottom w:val="none" w:sz="0" w:space="0" w:color="auto"/>
            <w:right w:val="none" w:sz="0" w:space="0" w:color="auto"/>
          </w:divBdr>
        </w:div>
        <w:div w:id="741410187">
          <w:marLeft w:val="0"/>
          <w:marRight w:val="0"/>
          <w:marTop w:val="0"/>
          <w:marBottom w:val="0"/>
          <w:divBdr>
            <w:top w:val="none" w:sz="0" w:space="0" w:color="auto"/>
            <w:left w:val="none" w:sz="0" w:space="0" w:color="auto"/>
            <w:bottom w:val="none" w:sz="0" w:space="0" w:color="auto"/>
            <w:right w:val="none" w:sz="0" w:space="0" w:color="auto"/>
          </w:divBdr>
        </w:div>
        <w:div w:id="780027328">
          <w:marLeft w:val="0"/>
          <w:marRight w:val="0"/>
          <w:marTop w:val="0"/>
          <w:marBottom w:val="0"/>
          <w:divBdr>
            <w:top w:val="none" w:sz="0" w:space="0" w:color="auto"/>
            <w:left w:val="none" w:sz="0" w:space="0" w:color="auto"/>
            <w:bottom w:val="none" w:sz="0" w:space="0" w:color="auto"/>
            <w:right w:val="none" w:sz="0" w:space="0" w:color="auto"/>
          </w:divBdr>
        </w:div>
        <w:div w:id="879977185">
          <w:marLeft w:val="0"/>
          <w:marRight w:val="0"/>
          <w:marTop w:val="0"/>
          <w:marBottom w:val="0"/>
          <w:divBdr>
            <w:top w:val="none" w:sz="0" w:space="0" w:color="auto"/>
            <w:left w:val="none" w:sz="0" w:space="0" w:color="auto"/>
            <w:bottom w:val="none" w:sz="0" w:space="0" w:color="auto"/>
            <w:right w:val="none" w:sz="0" w:space="0" w:color="auto"/>
          </w:divBdr>
        </w:div>
        <w:div w:id="1301038726">
          <w:marLeft w:val="0"/>
          <w:marRight w:val="0"/>
          <w:marTop w:val="0"/>
          <w:marBottom w:val="0"/>
          <w:divBdr>
            <w:top w:val="none" w:sz="0" w:space="0" w:color="auto"/>
            <w:left w:val="none" w:sz="0" w:space="0" w:color="auto"/>
            <w:bottom w:val="none" w:sz="0" w:space="0" w:color="auto"/>
            <w:right w:val="none" w:sz="0" w:space="0" w:color="auto"/>
          </w:divBdr>
        </w:div>
        <w:div w:id="1385372668">
          <w:marLeft w:val="0"/>
          <w:marRight w:val="0"/>
          <w:marTop w:val="0"/>
          <w:marBottom w:val="0"/>
          <w:divBdr>
            <w:top w:val="none" w:sz="0" w:space="0" w:color="auto"/>
            <w:left w:val="none" w:sz="0" w:space="0" w:color="auto"/>
            <w:bottom w:val="none" w:sz="0" w:space="0" w:color="auto"/>
            <w:right w:val="none" w:sz="0" w:space="0" w:color="auto"/>
          </w:divBdr>
        </w:div>
        <w:div w:id="1468358352">
          <w:marLeft w:val="0"/>
          <w:marRight w:val="0"/>
          <w:marTop w:val="0"/>
          <w:marBottom w:val="0"/>
          <w:divBdr>
            <w:top w:val="none" w:sz="0" w:space="0" w:color="auto"/>
            <w:left w:val="none" w:sz="0" w:space="0" w:color="auto"/>
            <w:bottom w:val="none" w:sz="0" w:space="0" w:color="auto"/>
            <w:right w:val="none" w:sz="0" w:space="0" w:color="auto"/>
          </w:divBdr>
        </w:div>
        <w:div w:id="1608610723">
          <w:marLeft w:val="0"/>
          <w:marRight w:val="0"/>
          <w:marTop w:val="0"/>
          <w:marBottom w:val="0"/>
          <w:divBdr>
            <w:top w:val="none" w:sz="0" w:space="0" w:color="auto"/>
            <w:left w:val="none" w:sz="0" w:space="0" w:color="auto"/>
            <w:bottom w:val="none" w:sz="0" w:space="0" w:color="auto"/>
            <w:right w:val="none" w:sz="0" w:space="0" w:color="auto"/>
          </w:divBdr>
        </w:div>
        <w:div w:id="1788043885">
          <w:marLeft w:val="0"/>
          <w:marRight w:val="0"/>
          <w:marTop w:val="0"/>
          <w:marBottom w:val="0"/>
          <w:divBdr>
            <w:top w:val="none" w:sz="0" w:space="0" w:color="auto"/>
            <w:left w:val="none" w:sz="0" w:space="0" w:color="auto"/>
            <w:bottom w:val="none" w:sz="0" w:space="0" w:color="auto"/>
            <w:right w:val="none" w:sz="0" w:space="0" w:color="auto"/>
          </w:divBdr>
        </w:div>
        <w:div w:id="1930578673">
          <w:marLeft w:val="0"/>
          <w:marRight w:val="0"/>
          <w:marTop w:val="0"/>
          <w:marBottom w:val="0"/>
          <w:divBdr>
            <w:top w:val="none" w:sz="0" w:space="0" w:color="auto"/>
            <w:left w:val="none" w:sz="0" w:space="0" w:color="auto"/>
            <w:bottom w:val="none" w:sz="0" w:space="0" w:color="auto"/>
            <w:right w:val="none" w:sz="0" w:space="0" w:color="auto"/>
          </w:divBdr>
        </w:div>
        <w:div w:id="1992516686">
          <w:marLeft w:val="0"/>
          <w:marRight w:val="0"/>
          <w:marTop w:val="0"/>
          <w:marBottom w:val="0"/>
          <w:divBdr>
            <w:top w:val="none" w:sz="0" w:space="0" w:color="auto"/>
            <w:left w:val="none" w:sz="0" w:space="0" w:color="auto"/>
            <w:bottom w:val="none" w:sz="0" w:space="0" w:color="auto"/>
            <w:right w:val="none" w:sz="0" w:space="0" w:color="auto"/>
          </w:divBdr>
        </w:div>
      </w:divsChild>
    </w:div>
    <w:div w:id="504831240">
      <w:bodyDiv w:val="1"/>
      <w:marLeft w:val="0"/>
      <w:marRight w:val="0"/>
      <w:marTop w:val="0"/>
      <w:marBottom w:val="0"/>
      <w:divBdr>
        <w:top w:val="none" w:sz="0" w:space="0" w:color="auto"/>
        <w:left w:val="none" w:sz="0" w:space="0" w:color="auto"/>
        <w:bottom w:val="none" w:sz="0" w:space="0" w:color="auto"/>
        <w:right w:val="none" w:sz="0" w:space="0" w:color="auto"/>
      </w:divBdr>
    </w:div>
    <w:div w:id="570627348">
      <w:bodyDiv w:val="1"/>
      <w:marLeft w:val="0"/>
      <w:marRight w:val="0"/>
      <w:marTop w:val="0"/>
      <w:marBottom w:val="0"/>
      <w:divBdr>
        <w:top w:val="none" w:sz="0" w:space="0" w:color="auto"/>
        <w:left w:val="none" w:sz="0" w:space="0" w:color="auto"/>
        <w:bottom w:val="none" w:sz="0" w:space="0" w:color="auto"/>
        <w:right w:val="none" w:sz="0" w:space="0" w:color="auto"/>
      </w:divBdr>
    </w:div>
    <w:div w:id="643238733">
      <w:bodyDiv w:val="1"/>
      <w:marLeft w:val="0"/>
      <w:marRight w:val="0"/>
      <w:marTop w:val="0"/>
      <w:marBottom w:val="0"/>
      <w:divBdr>
        <w:top w:val="none" w:sz="0" w:space="0" w:color="auto"/>
        <w:left w:val="none" w:sz="0" w:space="0" w:color="auto"/>
        <w:bottom w:val="none" w:sz="0" w:space="0" w:color="auto"/>
        <w:right w:val="none" w:sz="0" w:space="0" w:color="auto"/>
      </w:divBdr>
    </w:div>
    <w:div w:id="660936498">
      <w:bodyDiv w:val="1"/>
      <w:marLeft w:val="0"/>
      <w:marRight w:val="0"/>
      <w:marTop w:val="0"/>
      <w:marBottom w:val="0"/>
      <w:divBdr>
        <w:top w:val="none" w:sz="0" w:space="0" w:color="auto"/>
        <w:left w:val="none" w:sz="0" w:space="0" w:color="auto"/>
        <w:bottom w:val="none" w:sz="0" w:space="0" w:color="auto"/>
        <w:right w:val="none" w:sz="0" w:space="0" w:color="auto"/>
      </w:divBdr>
    </w:div>
    <w:div w:id="712193071">
      <w:bodyDiv w:val="1"/>
      <w:marLeft w:val="0"/>
      <w:marRight w:val="0"/>
      <w:marTop w:val="0"/>
      <w:marBottom w:val="0"/>
      <w:divBdr>
        <w:top w:val="none" w:sz="0" w:space="0" w:color="auto"/>
        <w:left w:val="none" w:sz="0" w:space="0" w:color="auto"/>
        <w:bottom w:val="none" w:sz="0" w:space="0" w:color="auto"/>
        <w:right w:val="none" w:sz="0" w:space="0" w:color="auto"/>
      </w:divBdr>
      <w:divsChild>
        <w:div w:id="49572267">
          <w:marLeft w:val="0"/>
          <w:marRight w:val="0"/>
          <w:marTop w:val="0"/>
          <w:marBottom w:val="0"/>
          <w:divBdr>
            <w:top w:val="none" w:sz="0" w:space="0" w:color="auto"/>
            <w:left w:val="none" w:sz="0" w:space="0" w:color="auto"/>
            <w:bottom w:val="none" w:sz="0" w:space="0" w:color="auto"/>
            <w:right w:val="none" w:sz="0" w:space="0" w:color="auto"/>
          </w:divBdr>
        </w:div>
        <w:div w:id="1978028009">
          <w:marLeft w:val="0"/>
          <w:marRight w:val="0"/>
          <w:marTop w:val="0"/>
          <w:marBottom w:val="0"/>
          <w:divBdr>
            <w:top w:val="none" w:sz="0" w:space="0" w:color="auto"/>
            <w:left w:val="none" w:sz="0" w:space="0" w:color="auto"/>
            <w:bottom w:val="none" w:sz="0" w:space="0" w:color="auto"/>
            <w:right w:val="none" w:sz="0" w:space="0" w:color="auto"/>
          </w:divBdr>
        </w:div>
      </w:divsChild>
    </w:div>
    <w:div w:id="762654275">
      <w:bodyDiv w:val="1"/>
      <w:marLeft w:val="0"/>
      <w:marRight w:val="0"/>
      <w:marTop w:val="0"/>
      <w:marBottom w:val="0"/>
      <w:divBdr>
        <w:top w:val="none" w:sz="0" w:space="0" w:color="auto"/>
        <w:left w:val="none" w:sz="0" w:space="0" w:color="auto"/>
        <w:bottom w:val="none" w:sz="0" w:space="0" w:color="auto"/>
        <w:right w:val="none" w:sz="0" w:space="0" w:color="auto"/>
      </w:divBdr>
      <w:divsChild>
        <w:div w:id="20858405">
          <w:marLeft w:val="0"/>
          <w:marRight w:val="0"/>
          <w:marTop w:val="0"/>
          <w:marBottom w:val="0"/>
          <w:divBdr>
            <w:top w:val="none" w:sz="0" w:space="0" w:color="auto"/>
            <w:left w:val="none" w:sz="0" w:space="0" w:color="auto"/>
            <w:bottom w:val="none" w:sz="0" w:space="0" w:color="auto"/>
            <w:right w:val="none" w:sz="0" w:space="0" w:color="auto"/>
          </w:divBdr>
        </w:div>
        <w:div w:id="26637474">
          <w:marLeft w:val="0"/>
          <w:marRight w:val="0"/>
          <w:marTop w:val="0"/>
          <w:marBottom w:val="0"/>
          <w:divBdr>
            <w:top w:val="none" w:sz="0" w:space="0" w:color="auto"/>
            <w:left w:val="none" w:sz="0" w:space="0" w:color="auto"/>
            <w:bottom w:val="none" w:sz="0" w:space="0" w:color="auto"/>
            <w:right w:val="none" w:sz="0" w:space="0" w:color="auto"/>
          </w:divBdr>
        </w:div>
        <w:div w:id="57363719">
          <w:marLeft w:val="0"/>
          <w:marRight w:val="0"/>
          <w:marTop w:val="0"/>
          <w:marBottom w:val="0"/>
          <w:divBdr>
            <w:top w:val="none" w:sz="0" w:space="0" w:color="auto"/>
            <w:left w:val="none" w:sz="0" w:space="0" w:color="auto"/>
            <w:bottom w:val="none" w:sz="0" w:space="0" w:color="auto"/>
            <w:right w:val="none" w:sz="0" w:space="0" w:color="auto"/>
          </w:divBdr>
        </w:div>
        <w:div w:id="85420688">
          <w:marLeft w:val="0"/>
          <w:marRight w:val="0"/>
          <w:marTop w:val="0"/>
          <w:marBottom w:val="0"/>
          <w:divBdr>
            <w:top w:val="none" w:sz="0" w:space="0" w:color="auto"/>
            <w:left w:val="none" w:sz="0" w:space="0" w:color="auto"/>
            <w:bottom w:val="none" w:sz="0" w:space="0" w:color="auto"/>
            <w:right w:val="none" w:sz="0" w:space="0" w:color="auto"/>
          </w:divBdr>
        </w:div>
        <w:div w:id="99036123">
          <w:marLeft w:val="0"/>
          <w:marRight w:val="0"/>
          <w:marTop w:val="0"/>
          <w:marBottom w:val="0"/>
          <w:divBdr>
            <w:top w:val="none" w:sz="0" w:space="0" w:color="auto"/>
            <w:left w:val="none" w:sz="0" w:space="0" w:color="auto"/>
            <w:bottom w:val="none" w:sz="0" w:space="0" w:color="auto"/>
            <w:right w:val="none" w:sz="0" w:space="0" w:color="auto"/>
          </w:divBdr>
        </w:div>
        <w:div w:id="155347028">
          <w:marLeft w:val="0"/>
          <w:marRight w:val="0"/>
          <w:marTop w:val="0"/>
          <w:marBottom w:val="0"/>
          <w:divBdr>
            <w:top w:val="none" w:sz="0" w:space="0" w:color="auto"/>
            <w:left w:val="none" w:sz="0" w:space="0" w:color="auto"/>
            <w:bottom w:val="none" w:sz="0" w:space="0" w:color="auto"/>
            <w:right w:val="none" w:sz="0" w:space="0" w:color="auto"/>
          </w:divBdr>
        </w:div>
        <w:div w:id="166403190">
          <w:marLeft w:val="0"/>
          <w:marRight w:val="0"/>
          <w:marTop w:val="0"/>
          <w:marBottom w:val="0"/>
          <w:divBdr>
            <w:top w:val="none" w:sz="0" w:space="0" w:color="auto"/>
            <w:left w:val="none" w:sz="0" w:space="0" w:color="auto"/>
            <w:bottom w:val="none" w:sz="0" w:space="0" w:color="auto"/>
            <w:right w:val="none" w:sz="0" w:space="0" w:color="auto"/>
          </w:divBdr>
        </w:div>
        <w:div w:id="209801661">
          <w:marLeft w:val="0"/>
          <w:marRight w:val="0"/>
          <w:marTop w:val="0"/>
          <w:marBottom w:val="0"/>
          <w:divBdr>
            <w:top w:val="none" w:sz="0" w:space="0" w:color="auto"/>
            <w:left w:val="none" w:sz="0" w:space="0" w:color="auto"/>
            <w:bottom w:val="none" w:sz="0" w:space="0" w:color="auto"/>
            <w:right w:val="none" w:sz="0" w:space="0" w:color="auto"/>
          </w:divBdr>
        </w:div>
        <w:div w:id="232860188">
          <w:marLeft w:val="0"/>
          <w:marRight w:val="0"/>
          <w:marTop w:val="0"/>
          <w:marBottom w:val="0"/>
          <w:divBdr>
            <w:top w:val="none" w:sz="0" w:space="0" w:color="auto"/>
            <w:left w:val="none" w:sz="0" w:space="0" w:color="auto"/>
            <w:bottom w:val="none" w:sz="0" w:space="0" w:color="auto"/>
            <w:right w:val="none" w:sz="0" w:space="0" w:color="auto"/>
          </w:divBdr>
        </w:div>
        <w:div w:id="251742186">
          <w:marLeft w:val="0"/>
          <w:marRight w:val="0"/>
          <w:marTop w:val="0"/>
          <w:marBottom w:val="0"/>
          <w:divBdr>
            <w:top w:val="none" w:sz="0" w:space="0" w:color="auto"/>
            <w:left w:val="none" w:sz="0" w:space="0" w:color="auto"/>
            <w:bottom w:val="none" w:sz="0" w:space="0" w:color="auto"/>
            <w:right w:val="none" w:sz="0" w:space="0" w:color="auto"/>
          </w:divBdr>
        </w:div>
        <w:div w:id="283539375">
          <w:marLeft w:val="0"/>
          <w:marRight w:val="0"/>
          <w:marTop w:val="0"/>
          <w:marBottom w:val="0"/>
          <w:divBdr>
            <w:top w:val="none" w:sz="0" w:space="0" w:color="auto"/>
            <w:left w:val="none" w:sz="0" w:space="0" w:color="auto"/>
            <w:bottom w:val="none" w:sz="0" w:space="0" w:color="auto"/>
            <w:right w:val="none" w:sz="0" w:space="0" w:color="auto"/>
          </w:divBdr>
        </w:div>
        <w:div w:id="322854565">
          <w:marLeft w:val="0"/>
          <w:marRight w:val="0"/>
          <w:marTop w:val="0"/>
          <w:marBottom w:val="0"/>
          <w:divBdr>
            <w:top w:val="none" w:sz="0" w:space="0" w:color="auto"/>
            <w:left w:val="none" w:sz="0" w:space="0" w:color="auto"/>
            <w:bottom w:val="none" w:sz="0" w:space="0" w:color="auto"/>
            <w:right w:val="none" w:sz="0" w:space="0" w:color="auto"/>
          </w:divBdr>
        </w:div>
        <w:div w:id="334386693">
          <w:marLeft w:val="0"/>
          <w:marRight w:val="0"/>
          <w:marTop w:val="0"/>
          <w:marBottom w:val="0"/>
          <w:divBdr>
            <w:top w:val="none" w:sz="0" w:space="0" w:color="auto"/>
            <w:left w:val="none" w:sz="0" w:space="0" w:color="auto"/>
            <w:bottom w:val="none" w:sz="0" w:space="0" w:color="auto"/>
            <w:right w:val="none" w:sz="0" w:space="0" w:color="auto"/>
          </w:divBdr>
        </w:div>
        <w:div w:id="335770976">
          <w:marLeft w:val="0"/>
          <w:marRight w:val="0"/>
          <w:marTop w:val="0"/>
          <w:marBottom w:val="0"/>
          <w:divBdr>
            <w:top w:val="none" w:sz="0" w:space="0" w:color="auto"/>
            <w:left w:val="none" w:sz="0" w:space="0" w:color="auto"/>
            <w:bottom w:val="none" w:sz="0" w:space="0" w:color="auto"/>
            <w:right w:val="none" w:sz="0" w:space="0" w:color="auto"/>
          </w:divBdr>
        </w:div>
        <w:div w:id="341511674">
          <w:marLeft w:val="0"/>
          <w:marRight w:val="0"/>
          <w:marTop w:val="0"/>
          <w:marBottom w:val="0"/>
          <w:divBdr>
            <w:top w:val="none" w:sz="0" w:space="0" w:color="auto"/>
            <w:left w:val="none" w:sz="0" w:space="0" w:color="auto"/>
            <w:bottom w:val="none" w:sz="0" w:space="0" w:color="auto"/>
            <w:right w:val="none" w:sz="0" w:space="0" w:color="auto"/>
          </w:divBdr>
        </w:div>
        <w:div w:id="381055240">
          <w:marLeft w:val="0"/>
          <w:marRight w:val="0"/>
          <w:marTop w:val="0"/>
          <w:marBottom w:val="0"/>
          <w:divBdr>
            <w:top w:val="none" w:sz="0" w:space="0" w:color="auto"/>
            <w:left w:val="none" w:sz="0" w:space="0" w:color="auto"/>
            <w:bottom w:val="none" w:sz="0" w:space="0" w:color="auto"/>
            <w:right w:val="none" w:sz="0" w:space="0" w:color="auto"/>
          </w:divBdr>
        </w:div>
        <w:div w:id="514618527">
          <w:marLeft w:val="0"/>
          <w:marRight w:val="0"/>
          <w:marTop w:val="0"/>
          <w:marBottom w:val="0"/>
          <w:divBdr>
            <w:top w:val="none" w:sz="0" w:space="0" w:color="auto"/>
            <w:left w:val="none" w:sz="0" w:space="0" w:color="auto"/>
            <w:bottom w:val="none" w:sz="0" w:space="0" w:color="auto"/>
            <w:right w:val="none" w:sz="0" w:space="0" w:color="auto"/>
          </w:divBdr>
        </w:div>
        <w:div w:id="550651469">
          <w:marLeft w:val="0"/>
          <w:marRight w:val="0"/>
          <w:marTop w:val="0"/>
          <w:marBottom w:val="0"/>
          <w:divBdr>
            <w:top w:val="none" w:sz="0" w:space="0" w:color="auto"/>
            <w:left w:val="none" w:sz="0" w:space="0" w:color="auto"/>
            <w:bottom w:val="none" w:sz="0" w:space="0" w:color="auto"/>
            <w:right w:val="none" w:sz="0" w:space="0" w:color="auto"/>
          </w:divBdr>
        </w:div>
        <w:div w:id="625703333">
          <w:marLeft w:val="0"/>
          <w:marRight w:val="0"/>
          <w:marTop w:val="0"/>
          <w:marBottom w:val="0"/>
          <w:divBdr>
            <w:top w:val="none" w:sz="0" w:space="0" w:color="auto"/>
            <w:left w:val="none" w:sz="0" w:space="0" w:color="auto"/>
            <w:bottom w:val="none" w:sz="0" w:space="0" w:color="auto"/>
            <w:right w:val="none" w:sz="0" w:space="0" w:color="auto"/>
          </w:divBdr>
        </w:div>
        <w:div w:id="662700294">
          <w:marLeft w:val="0"/>
          <w:marRight w:val="0"/>
          <w:marTop w:val="0"/>
          <w:marBottom w:val="0"/>
          <w:divBdr>
            <w:top w:val="none" w:sz="0" w:space="0" w:color="auto"/>
            <w:left w:val="none" w:sz="0" w:space="0" w:color="auto"/>
            <w:bottom w:val="none" w:sz="0" w:space="0" w:color="auto"/>
            <w:right w:val="none" w:sz="0" w:space="0" w:color="auto"/>
          </w:divBdr>
        </w:div>
        <w:div w:id="678629625">
          <w:marLeft w:val="0"/>
          <w:marRight w:val="0"/>
          <w:marTop w:val="0"/>
          <w:marBottom w:val="0"/>
          <w:divBdr>
            <w:top w:val="none" w:sz="0" w:space="0" w:color="auto"/>
            <w:left w:val="none" w:sz="0" w:space="0" w:color="auto"/>
            <w:bottom w:val="none" w:sz="0" w:space="0" w:color="auto"/>
            <w:right w:val="none" w:sz="0" w:space="0" w:color="auto"/>
          </w:divBdr>
        </w:div>
        <w:div w:id="711543001">
          <w:marLeft w:val="0"/>
          <w:marRight w:val="0"/>
          <w:marTop w:val="0"/>
          <w:marBottom w:val="0"/>
          <w:divBdr>
            <w:top w:val="none" w:sz="0" w:space="0" w:color="auto"/>
            <w:left w:val="none" w:sz="0" w:space="0" w:color="auto"/>
            <w:bottom w:val="none" w:sz="0" w:space="0" w:color="auto"/>
            <w:right w:val="none" w:sz="0" w:space="0" w:color="auto"/>
          </w:divBdr>
        </w:div>
        <w:div w:id="721252522">
          <w:marLeft w:val="0"/>
          <w:marRight w:val="0"/>
          <w:marTop w:val="0"/>
          <w:marBottom w:val="0"/>
          <w:divBdr>
            <w:top w:val="none" w:sz="0" w:space="0" w:color="auto"/>
            <w:left w:val="none" w:sz="0" w:space="0" w:color="auto"/>
            <w:bottom w:val="none" w:sz="0" w:space="0" w:color="auto"/>
            <w:right w:val="none" w:sz="0" w:space="0" w:color="auto"/>
          </w:divBdr>
        </w:div>
        <w:div w:id="729184222">
          <w:marLeft w:val="0"/>
          <w:marRight w:val="0"/>
          <w:marTop w:val="0"/>
          <w:marBottom w:val="0"/>
          <w:divBdr>
            <w:top w:val="none" w:sz="0" w:space="0" w:color="auto"/>
            <w:left w:val="none" w:sz="0" w:space="0" w:color="auto"/>
            <w:bottom w:val="none" w:sz="0" w:space="0" w:color="auto"/>
            <w:right w:val="none" w:sz="0" w:space="0" w:color="auto"/>
          </w:divBdr>
        </w:div>
        <w:div w:id="824974931">
          <w:marLeft w:val="0"/>
          <w:marRight w:val="0"/>
          <w:marTop w:val="0"/>
          <w:marBottom w:val="0"/>
          <w:divBdr>
            <w:top w:val="none" w:sz="0" w:space="0" w:color="auto"/>
            <w:left w:val="none" w:sz="0" w:space="0" w:color="auto"/>
            <w:bottom w:val="none" w:sz="0" w:space="0" w:color="auto"/>
            <w:right w:val="none" w:sz="0" w:space="0" w:color="auto"/>
          </w:divBdr>
        </w:div>
        <w:div w:id="837616431">
          <w:marLeft w:val="0"/>
          <w:marRight w:val="0"/>
          <w:marTop w:val="0"/>
          <w:marBottom w:val="0"/>
          <w:divBdr>
            <w:top w:val="none" w:sz="0" w:space="0" w:color="auto"/>
            <w:left w:val="none" w:sz="0" w:space="0" w:color="auto"/>
            <w:bottom w:val="none" w:sz="0" w:space="0" w:color="auto"/>
            <w:right w:val="none" w:sz="0" w:space="0" w:color="auto"/>
          </w:divBdr>
        </w:div>
        <w:div w:id="848636080">
          <w:marLeft w:val="0"/>
          <w:marRight w:val="0"/>
          <w:marTop w:val="0"/>
          <w:marBottom w:val="0"/>
          <w:divBdr>
            <w:top w:val="none" w:sz="0" w:space="0" w:color="auto"/>
            <w:left w:val="none" w:sz="0" w:space="0" w:color="auto"/>
            <w:bottom w:val="none" w:sz="0" w:space="0" w:color="auto"/>
            <w:right w:val="none" w:sz="0" w:space="0" w:color="auto"/>
          </w:divBdr>
        </w:div>
        <w:div w:id="875507196">
          <w:marLeft w:val="0"/>
          <w:marRight w:val="0"/>
          <w:marTop w:val="0"/>
          <w:marBottom w:val="0"/>
          <w:divBdr>
            <w:top w:val="none" w:sz="0" w:space="0" w:color="auto"/>
            <w:left w:val="none" w:sz="0" w:space="0" w:color="auto"/>
            <w:bottom w:val="none" w:sz="0" w:space="0" w:color="auto"/>
            <w:right w:val="none" w:sz="0" w:space="0" w:color="auto"/>
          </w:divBdr>
        </w:div>
        <w:div w:id="896013241">
          <w:marLeft w:val="0"/>
          <w:marRight w:val="0"/>
          <w:marTop w:val="0"/>
          <w:marBottom w:val="0"/>
          <w:divBdr>
            <w:top w:val="none" w:sz="0" w:space="0" w:color="auto"/>
            <w:left w:val="none" w:sz="0" w:space="0" w:color="auto"/>
            <w:bottom w:val="none" w:sz="0" w:space="0" w:color="auto"/>
            <w:right w:val="none" w:sz="0" w:space="0" w:color="auto"/>
          </w:divBdr>
        </w:div>
        <w:div w:id="896936836">
          <w:marLeft w:val="0"/>
          <w:marRight w:val="0"/>
          <w:marTop w:val="0"/>
          <w:marBottom w:val="0"/>
          <w:divBdr>
            <w:top w:val="none" w:sz="0" w:space="0" w:color="auto"/>
            <w:left w:val="none" w:sz="0" w:space="0" w:color="auto"/>
            <w:bottom w:val="none" w:sz="0" w:space="0" w:color="auto"/>
            <w:right w:val="none" w:sz="0" w:space="0" w:color="auto"/>
          </w:divBdr>
        </w:div>
        <w:div w:id="988630666">
          <w:marLeft w:val="0"/>
          <w:marRight w:val="0"/>
          <w:marTop w:val="0"/>
          <w:marBottom w:val="0"/>
          <w:divBdr>
            <w:top w:val="none" w:sz="0" w:space="0" w:color="auto"/>
            <w:left w:val="none" w:sz="0" w:space="0" w:color="auto"/>
            <w:bottom w:val="none" w:sz="0" w:space="0" w:color="auto"/>
            <w:right w:val="none" w:sz="0" w:space="0" w:color="auto"/>
          </w:divBdr>
        </w:div>
        <w:div w:id="1023283506">
          <w:marLeft w:val="0"/>
          <w:marRight w:val="0"/>
          <w:marTop w:val="0"/>
          <w:marBottom w:val="0"/>
          <w:divBdr>
            <w:top w:val="none" w:sz="0" w:space="0" w:color="auto"/>
            <w:left w:val="none" w:sz="0" w:space="0" w:color="auto"/>
            <w:bottom w:val="none" w:sz="0" w:space="0" w:color="auto"/>
            <w:right w:val="none" w:sz="0" w:space="0" w:color="auto"/>
          </w:divBdr>
        </w:div>
        <w:div w:id="1031421281">
          <w:marLeft w:val="0"/>
          <w:marRight w:val="0"/>
          <w:marTop w:val="0"/>
          <w:marBottom w:val="0"/>
          <w:divBdr>
            <w:top w:val="none" w:sz="0" w:space="0" w:color="auto"/>
            <w:left w:val="none" w:sz="0" w:space="0" w:color="auto"/>
            <w:bottom w:val="none" w:sz="0" w:space="0" w:color="auto"/>
            <w:right w:val="none" w:sz="0" w:space="0" w:color="auto"/>
          </w:divBdr>
        </w:div>
        <w:div w:id="1156460536">
          <w:marLeft w:val="0"/>
          <w:marRight w:val="0"/>
          <w:marTop w:val="0"/>
          <w:marBottom w:val="0"/>
          <w:divBdr>
            <w:top w:val="none" w:sz="0" w:space="0" w:color="auto"/>
            <w:left w:val="none" w:sz="0" w:space="0" w:color="auto"/>
            <w:bottom w:val="none" w:sz="0" w:space="0" w:color="auto"/>
            <w:right w:val="none" w:sz="0" w:space="0" w:color="auto"/>
          </w:divBdr>
        </w:div>
        <w:div w:id="1182939864">
          <w:marLeft w:val="0"/>
          <w:marRight w:val="0"/>
          <w:marTop w:val="0"/>
          <w:marBottom w:val="0"/>
          <w:divBdr>
            <w:top w:val="none" w:sz="0" w:space="0" w:color="auto"/>
            <w:left w:val="none" w:sz="0" w:space="0" w:color="auto"/>
            <w:bottom w:val="none" w:sz="0" w:space="0" w:color="auto"/>
            <w:right w:val="none" w:sz="0" w:space="0" w:color="auto"/>
          </w:divBdr>
        </w:div>
        <w:div w:id="1216819559">
          <w:marLeft w:val="0"/>
          <w:marRight w:val="0"/>
          <w:marTop w:val="0"/>
          <w:marBottom w:val="0"/>
          <w:divBdr>
            <w:top w:val="none" w:sz="0" w:space="0" w:color="auto"/>
            <w:left w:val="none" w:sz="0" w:space="0" w:color="auto"/>
            <w:bottom w:val="none" w:sz="0" w:space="0" w:color="auto"/>
            <w:right w:val="none" w:sz="0" w:space="0" w:color="auto"/>
          </w:divBdr>
        </w:div>
        <w:div w:id="1225676084">
          <w:marLeft w:val="0"/>
          <w:marRight w:val="0"/>
          <w:marTop w:val="0"/>
          <w:marBottom w:val="0"/>
          <w:divBdr>
            <w:top w:val="none" w:sz="0" w:space="0" w:color="auto"/>
            <w:left w:val="none" w:sz="0" w:space="0" w:color="auto"/>
            <w:bottom w:val="none" w:sz="0" w:space="0" w:color="auto"/>
            <w:right w:val="none" w:sz="0" w:space="0" w:color="auto"/>
          </w:divBdr>
        </w:div>
        <w:div w:id="1240795100">
          <w:marLeft w:val="0"/>
          <w:marRight w:val="0"/>
          <w:marTop w:val="0"/>
          <w:marBottom w:val="0"/>
          <w:divBdr>
            <w:top w:val="none" w:sz="0" w:space="0" w:color="auto"/>
            <w:left w:val="none" w:sz="0" w:space="0" w:color="auto"/>
            <w:bottom w:val="none" w:sz="0" w:space="0" w:color="auto"/>
            <w:right w:val="none" w:sz="0" w:space="0" w:color="auto"/>
          </w:divBdr>
        </w:div>
        <w:div w:id="1255702397">
          <w:marLeft w:val="0"/>
          <w:marRight w:val="0"/>
          <w:marTop w:val="0"/>
          <w:marBottom w:val="0"/>
          <w:divBdr>
            <w:top w:val="none" w:sz="0" w:space="0" w:color="auto"/>
            <w:left w:val="none" w:sz="0" w:space="0" w:color="auto"/>
            <w:bottom w:val="none" w:sz="0" w:space="0" w:color="auto"/>
            <w:right w:val="none" w:sz="0" w:space="0" w:color="auto"/>
          </w:divBdr>
        </w:div>
        <w:div w:id="1268005612">
          <w:marLeft w:val="0"/>
          <w:marRight w:val="0"/>
          <w:marTop w:val="0"/>
          <w:marBottom w:val="0"/>
          <w:divBdr>
            <w:top w:val="none" w:sz="0" w:space="0" w:color="auto"/>
            <w:left w:val="none" w:sz="0" w:space="0" w:color="auto"/>
            <w:bottom w:val="none" w:sz="0" w:space="0" w:color="auto"/>
            <w:right w:val="none" w:sz="0" w:space="0" w:color="auto"/>
          </w:divBdr>
        </w:div>
        <w:div w:id="1272276842">
          <w:marLeft w:val="0"/>
          <w:marRight w:val="0"/>
          <w:marTop w:val="0"/>
          <w:marBottom w:val="0"/>
          <w:divBdr>
            <w:top w:val="none" w:sz="0" w:space="0" w:color="auto"/>
            <w:left w:val="none" w:sz="0" w:space="0" w:color="auto"/>
            <w:bottom w:val="none" w:sz="0" w:space="0" w:color="auto"/>
            <w:right w:val="none" w:sz="0" w:space="0" w:color="auto"/>
          </w:divBdr>
        </w:div>
        <w:div w:id="1280380431">
          <w:marLeft w:val="0"/>
          <w:marRight w:val="0"/>
          <w:marTop w:val="0"/>
          <w:marBottom w:val="0"/>
          <w:divBdr>
            <w:top w:val="none" w:sz="0" w:space="0" w:color="auto"/>
            <w:left w:val="none" w:sz="0" w:space="0" w:color="auto"/>
            <w:bottom w:val="none" w:sz="0" w:space="0" w:color="auto"/>
            <w:right w:val="none" w:sz="0" w:space="0" w:color="auto"/>
          </w:divBdr>
        </w:div>
        <w:div w:id="1341741325">
          <w:marLeft w:val="0"/>
          <w:marRight w:val="0"/>
          <w:marTop w:val="0"/>
          <w:marBottom w:val="0"/>
          <w:divBdr>
            <w:top w:val="none" w:sz="0" w:space="0" w:color="auto"/>
            <w:left w:val="none" w:sz="0" w:space="0" w:color="auto"/>
            <w:bottom w:val="none" w:sz="0" w:space="0" w:color="auto"/>
            <w:right w:val="none" w:sz="0" w:space="0" w:color="auto"/>
          </w:divBdr>
        </w:div>
        <w:div w:id="1371032079">
          <w:marLeft w:val="0"/>
          <w:marRight w:val="0"/>
          <w:marTop w:val="0"/>
          <w:marBottom w:val="0"/>
          <w:divBdr>
            <w:top w:val="none" w:sz="0" w:space="0" w:color="auto"/>
            <w:left w:val="none" w:sz="0" w:space="0" w:color="auto"/>
            <w:bottom w:val="none" w:sz="0" w:space="0" w:color="auto"/>
            <w:right w:val="none" w:sz="0" w:space="0" w:color="auto"/>
          </w:divBdr>
        </w:div>
        <w:div w:id="1404526070">
          <w:marLeft w:val="0"/>
          <w:marRight w:val="0"/>
          <w:marTop w:val="0"/>
          <w:marBottom w:val="0"/>
          <w:divBdr>
            <w:top w:val="none" w:sz="0" w:space="0" w:color="auto"/>
            <w:left w:val="none" w:sz="0" w:space="0" w:color="auto"/>
            <w:bottom w:val="none" w:sz="0" w:space="0" w:color="auto"/>
            <w:right w:val="none" w:sz="0" w:space="0" w:color="auto"/>
          </w:divBdr>
        </w:div>
        <w:div w:id="1554730951">
          <w:marLeft w:val="0"/>
          <w:marRight w:val="0"/>
          <w:marTop w:val="0"/>
          <w:marBottom w:val="0"/>
          <w:divBdr>
            <w:top w:val="none" w:sz="0" w:space="0" w:color="auto"/>
            <w:left w:val="none" w:sz="0" w:space="0" w:color="auto"/>
            <w:bottom w:val="none" w:sz="0" w:space="0" w:color="auto"/>
            <w:right w:val="none" w:sz="0" w:space="0" w:color="auto"/>
          </w:divBdr>
        </w:div>
        <w:div w:id="1556966648">
          <w:marLeft w:val="0"/>
          <w:marRight w:val="0"/>
          <w:marTop w:val="0"/>
          <w:marBottom w:val="0"/>
          <w:divBdr>
            <w:top w:val="none" w:sz="0" w:space="0" w:color="auto"/>
            <w:left w:val="none" w:sz="0" w:space="0" w:color="auto"/>
            <w:bottom w:val="none" w:sz="0" w:space="0" w:color="auto"/>
            <w:right w:val="none" w:sz="0" w:space="0" w:color="auto"/>
          </w:divBdr>
        </w:div>
        <w:div w:id="1586840601">
          <w:marLeft w:val="0"/>
          <w:marRight w:val="0"/>
          <w:marTop w:val="0"/>
          <w:marBottom w:val="0"/>
          <w:divBdr>
            <w:top w:val="none" w:sz="0" w:space="0" w:color="auto"/>
            <w:left w:val="none" w:sz="0" w:space="0" w:color="auto"/>
            <w:bottom w:val="none" w:sz="0" w:space="0" w:color="auto"/>
            <w:right w:val="none" w:sz="0" w:space="0" w:color="auto"/>
          </w:divBdr>
        </w:div>
        <w:div w:id="1701859851">
          <w:marLeft w:val="0"/>
          <w:marRight w:val="0"/>
          <w:marTop w:val="0"/>
          <w:marBottom w:val="0"/>
          <w:divBdr>
            <w:top w:val="none" w:sz="0" w:space="0" w:color="auto"/>
            <w:left w:val="none" w:sz="0" w:space="0" w:color="auto"/>
            <w:bottom w:val="none" w:sz="0" w:space="0" w:color="auto"/>
            <w:right w:val="none" w:sz="0" w:space="0" w:color="auto"/>
          </w:divBdr>
        </w:div>
        <w:div w:id="1759130739">
          <w:marLeft w:val="0"/>
          <w:marRight w:val="0"/>
          <w:marTop w:val="0"/>
          <w:marBottom w:val="0"/>
          <w:divBdr>
            <w:top w:val="none" w:sz="0" w:space="0" w:color="auto"/>
            <w:left w:val="none" w:sz="0" w:space="0" w:color="auto"/>
            <w:bottom w:val="none" w:sz="0" w:space="0" w:color="auto"/>
            <w:right w:val="none" w:sz="0" w:space="0" w:color="auto"/>
          </w:divBdr>
        </w:div>
        <w:div w:id="1832409718">
          <w:marLeft w:val="0"/>
          <w:marRight w:val="0"/>
          <w:marTop w:val="0"/>
          <w:marBottom w:val="0"/>
          <w:divBdr>
            <w:top w:val="none" w:sz="0" w:space="0" w:color="auto"/>
            <w:left w:val="none" w:sz="0" w:space="0" w:color="auto"/>
            <w:bottom w:val="none" w:sz="0" w:space="0" w:color="auto"/>
            <w:right w:val="none" w:sz="0" w:space="0" w:color="auto"/>
          </w:divBdr>
        </w:div>
        <w:div w:id="1889954632">
          <w:marLeft w:val="0"/>
          <w:marRight w:val="0"/>
          <w:marTop w:val="0"/>
          <w:marBottom w:val="0"/>
          <w:divBdr>
            <w:top w:val="none" w:sz="0" w:space="0" w:color="auto"/>
            <w:left w:val="none" w:sz="0" w:space="0" w:color="auto"/>
            <w:bottom w:val="none" w:sz="0" w:space="0" w:color="auto"/>
            <w:right w:val="none" w:sz="0" w:space="0" w:color="auto"/>
          </w:divBdr>
        </w:div>
        <w:div w:id="1914587112">
          <w:marLeft w:val="0"/>
          <w:marRight w:val="0"/>
          <w:marTop w:val="0"/>
          <w:marBottom w:val="0"/>
          <w:divBdr>
            <w:top w:val="none" w:sz="0" w:space="0" w:color="auto"/>
            <w:left w:val="none" w:sz="0" w:space="0" w:color="auto"/>
            <w:bottom w:val="none" w:sz="0" w:space="0" w:color="auto"/>
            <w:right w:val="none" w:sz="0" w:space="0" w:color="auto"/>
          </w:divBdr>
        </w:div>
        <w:div w:id="1917474660">
          <w:marLeft w:val="0"/>
          <w:marRight w:val="0"/>
          <w:marTop w:val="0"/>
          <w:marBottom w:val="0"/>
          <w:divBdr>
            <w:top w:val="none" w:sz="0" w:space="0" w:color="auto"/>
            <w:left w:val="none" w:sz="0" w:space="0" w:color="auto"/>
            <w:bottom w:val="none" w:sz="0" w:space="0" w:color="auto"/>
            <w:right w:val="none" w:sz="0" w:space="0" w:color="auto"/>
          </w:divBdr>
        </w:div>
        <w:div w:id="1975208771">
          <w:marLeft w:val="0"/>
          <w:marRight w:val="0"/>
          <w:marTop w:val="0"/>
          <w:marBottom w:val="0"/>
          <w:divBdr>
            <w:top w:val="none" w:sz="0" w:space="0" w:color="auto"/>
            <w:left w:val="none" w:sz="0" w:space="0" w:color="auto"/>
            <w:bottom w:val="none" w:sz="0" w:space="0" w:color="auto"/>
            <w:right w:val="none" w:sz="0" w:space="0" w:color="auto"/>
          </w:divBdr>
        </w:div>
        <w:div w:id="1992250667">
          <w:marLeft w:val="0"/>
          <w:marRight w:val="0"/>
          <w:marTop w:val="0"/>
          <w:marBottom w:val="0"/>
          <w:divBdr>
            <w:top w:val="none" w:sz="0" w:space="0" w:color="auto"/>
            <w:left w:val="none" w:sz="0" w:space="0" w:color="auto"/>
            <w:bottom w:val="none" w:sz="0" w:space="0" w:color="auto"/>
            <w:right w:val="none" w:sz="0" w:space="0" w:color="auto"/>
          </w:divBdr>
        </w:div>
        <w:div w:id="2006742313">
          <w:marLeft w:val="0"/>
          <w:marRight w:val="0"/>
          <w:marTop w:val="0"/>
          <w:marBottom w:val="0"/>
          <w:divBdr>
            <w:top w:val="none" w:sz="0" w:space="0" w:color="auto"/>
            <w:left w:val="none" w:sz="0" w:space="0" w:color="auto"/>
            <w:bottom w:val="none" w:sz="0" w:space="0" w:color="auto"/>
            <w:right w:val="none" w:sz="0" w:space="0" w:color="auto"/>
          </w:divBdr>
        </w:div>
        <w:div w:id="2031492539">
          <w:marLeft w:val="0"/>
          <w:marRight w:val="0"/>
          <w:marTop w:val="0"/>
          <w:marBottom w:val="0"/>
          <w:divBdr>
            <w:top w:val="none" w:sz="0" w:space="0" w:color="auto"/>
            <w:left w:val="none" w:sz="0" w:space="0" w:color="auto"/>
            <w:bottom w:val="none" w:sz="0" w:space="0" w:color="auto"/>
            <w:right w:val="none" w:sz="0" w:space="0" w:color="auto"/>
          </w:divBdr>
        </w:div>
        <w:div w:id="2103602858">
          <w:marLeft w:val="0"/>
          <w:marRight w:val="0"/>
          <w:marTop w:val="0"/>
          <w:marBottom w:val="0"/>
          <w:divBdr>
            <w:top w:val="none" w:sz="0" w:space="0" w:color="auto"/>
            <w:left w:val="none" w:sz="0" w:space="0" w:color="auto"/>
            <w:bottom w:val="none" w:sz="0" w:space="0" w:color="auto"/>
            <w:right w:val="none" w:sz="0" w:space="0" w:color="auto"/>
          </w:divBdr>
        </w:div>
        <w:div w:id="2103603608">
          <w:marLeft w:val="0"/>
          <w:marRight w:val="0"/>
          <w:marTop w:val="0"/>
          <w:marBottom w:val="0"/>
          <w:divBdr>
            <w:top w:val="none" w:sz="0" w:space="0" w:color="auto"/>
            <w:left w:val="none" w:sz="0" w:space="0" w:color="auto"/>
            <w:bottom w:val="none" w:sz="0" w:space="0" w:color="auto"/>
            <w:right w:val="none" w:sz="0" w:space="0" w:color="auto"/>
          </w:divBdr>
        </w:div>
      </w:divsChild>
    </w:div>
    <w:div w:id="828715352">
      <w:bodyDiv w:val="1"/>
      <w:marLeft w:val="0"/>
      <w:marRight w:val="0"/>
      <w:marTop w:val="0"/>
      <w:marBottom w:val="0"/>
      <w:divBdr>
        <w:top w:val="none" w:sz="0" w:space="0" w:color="auto"/>
        <w:left w:val="none" w:sz="0" w:space="0" w:color="auto"/>
        <w:bottom w:val="none" w:sz="0" w:space="0" w:color="auto"/>
        <w:right w:val="none" w:sz="0" w:space="0" w:color="auto"/>
      </w:divBdr>
    </w:div>
    <w:div w:id="855115773">
      <w:bodyDiv w:val="1"/>
      <w:marLeft w:val="0"/>
      <w:marRight w:val="0"/>
      <w:marTop w:val="0"/>
      <w:marBottom w:val="0"/>
      <w:divBdr>
        <w:top w:val="none" w:sz="0" w:space="0" w:color="auto"/>
        <w:left w:val="none" w:sz="0" w:space="0" w:color="auto"/>
        <w:bottom w:val="none" w:sz="0" w:space="0" w:color="auto"/>
        <w:right w:val="none" w:sz="0" w:space="0" w:color="auto"/>
      </w:divBdr>
    </w:div>
    <w:div w:id="888764569">
      <w:bodyDiv w:val="1"/>
      <w:marLeft w:val="0"/>
      <w:marRight w:val="0"/>
      <w:marTop w:val="0"/>
      <w:marBottom w:val="0"/>
      <w:divBdr>
        <w:top w:val="none" w:sz="0" w:space="0" w:color="auto"/>
        <w:left w:val="none" w:sz="0" w:space="0" w:color="auto"/>
        <w:bottom w:val="none" w:sz="0" w:space="0" w:color="auto"/>
        <w:right w:val="none" w:sz="0" w:space="0" w:color="auto"/>
      </w:divBdr>
    </w:div>
    <w:div w:id="905454409">
      <w:bodyDiv w:val="1"/>
      <w:marLeft w:val="0"/>
      <w:marRight w:val="0"/>
      <w:marTop w:val="0"/>
      <w:marBottom w:val="0"/>
      <w:divBdr>
        <w:top w:val="none" w:sz="0" w:space="0" w:color="auto"/>
        <w:left w:val="none" w:sz="0" w:space="0" w:color="auto"/>
        <w:bottom w:val="none" w:sz="0" w:space="0" w:color="auto"/>
        <w:right w:val="none" w:sz="0" w:space="0" w:color="auto"/>
      </w:divBdr>
    </w:div>
    <w:div w:id="907498055">
      <w:bodyDiv w:val="1"/>
      <w:marLeft w:val="0"/>
      <w:marRight w:val="0"/>
      <w:marTop w:val="0"/>
      <w:marBottom w:val="0"/>
      <w:divBdr>
        <w:top w:val="none" w:sz="0" w:space="0" w:color="auto"/>
        <w:left w:val="none" w:sz="0" w:space="0" w:color="auto"/>
        <w:bottom w:val="none" w:sz="0" w:space="0" w:color="auto"/>
        <w:right w:val="none" w:sz="0" w:space="0" w:color="auto"/>
      </w:divBdr>
    </w:div>
    <w:div w:id="922224830">
      <w:bodyDiv w:val="1"/>
      <w:marLeft w:val="0"/>
      <w:marRight w:val="0"/>
      <w:marTop w:val="0"/>
      <w:marBottom w:val="0"/>
      <w:divBdr>
        <w:top w:val="none" w:sz="0" w:space="0" w:color="auto"/>
        <w:left w:val="none" w:sz="0" w:space="0" w:color="auto"/>
        <w:bottom w:val="none" w:sz="0" w:space="0" w:color="auto"/>
        <w:right w:val="none" w:sz="0" w:space="0" w:color="auto"/>
      </w:divBdr>
    </w:div>
    <w:div w:id="1011569839">
      <w:bodyDiv w:val="1"/>
      <w:marLeft w:val="0"/>
      <w:marRight w:val="0"/>
      <w:marTop w:val="0"/>
      <w:marBottom w:val="0"/>
      <w:divBdr>
        <w:top w:val="none" w:sz="0" w:space="0" w:color="auto"/>
        <w:left w:val="none" w:sz="0" w:space="0" w:color="auto"/>
        <w:bottom w:val="none" w:sz="0" w:space="0" w:color="auto"/>
        <w:right w:val="none" w:sz="0" w:space="0" w:color="auto"/>
      </w:divBdr>
    </w:div>
    <w:div w:id="1101608788">
      <w:bodyDiv w:val="1"/>
      <w:marLeft w:val="0"/>
      <w:marRight w:val="0"/>
      <w:marTop w:val="0"/>
      <w:marBottom w:val="0"/>
      <w:divBdr>
        <w:top w:val="none" w:sz="0" w:space="0" w:color="auto"/>
        <w:left w:val="none" w:sz="0" w:space="0" w:color="auto"/>
        <w:bottom w:val="none" w:sz="0" w:space="0" w:color="auto"/>
        <w:right w:val="none" w:sz="0" w:space="0" w:color="auto"/>
      </w:divBdr>
      <w:divsChild>
        <w:div w:id="350767478">
          <w:marLeft w:val="0"/>
          <w:marRight w:val="0"/>
          <w:marTop w:val="0"/>
          <w:marBottom w:val="0"/>
          <w:divBdr>
            <w:top w:val="none" w:sz="0" w:space="0" w:color="auto"/>
            <w:left w:val="none" w:sz="0" w:space="0" w:color="auto"/>
            <w:bottom w:val="none" w:sz="0" w:space="0" w:color="auto"/>
            <w:right w:val="none" w:sz="0" w:space="0" w:color="auto"/>
          </w:divBdr>
        </w:div>
      </w:divsChild>
    </w:div>
    <w:div w:id="1110467510">
      <w:bodyDiv w:val="1"/>
      <w:marLeft w:val="0"/>
      <w:marRight w:val="0"/>
      <w:marTop w:val="0"/>
      <w:marBottom w:val="0"/>
      <w:divBdr>
        <w:top w:val="none" w:sz="0" w:space="0" w:color="auto"/>
        <w:left w:val="none" w:sz="0" w:space="0" w:color="auto"/>
        <w:bottom w:val="none" w:sz="0" w:space="0" w:color="auto"/>
        <w:right w:val="none" w:sz="0" w:space="0" w:color="auto"/>
      </w:divBdr>
    </w:div>
    <w:div w:id="1115634802">
      <w:bodyDiv w:val="1"/>
      <w:marLeft w:val="0"/>
      <w:marRight w:val="0"/>
      <w:marTop w:val="0"/>
      <w:marBottom w:val="0"/>
      <w:divBdr>
        <w:top w:val="none" w:sz="0" w:space="0" w:color="auto"/>
        <w:left w:val="none" w:sz="0" w:space="0" w:color="auto"/>
        <w:bottom w:val="none" w:sz="0" w:space="0" w:color="auto"/>
        <w:right w:val="none" w:sz="0" w:space="0" w:color="auto"/>
      </w:divBdr>
    </w:div>
    <w:div w:id="1119568023">
      <w:bodyDiv w:val="1"/>
      <w:marLeft w:val="0"/>
      <w:marRight w:val="0"/>
      <w:marTop w:val="0"/>
      <w:marBottom w:val="0"/>
      <w:divBdr>
        <w:top w:val="none" w:sz="0" w:space="0" w:color="auto"/>
        <w:left w:val="none" w:sz="0" w:space="0" w:color="auto"/>
        <w:bottom w:val="none" w:sz="0" w:space="0" w:color="auto"/>
        <w:right w:val="none" w:sz="0" w:space="0" w:color="auto"/>
      </w:divBdr>
    </w:div>
    <w:div w:id="1137720653">
      <w:bodyDiv w:val="1"/>
      <w:marLeft w:val="0"/>
      <w:marRight w:val="0"/>
      <w:marTop w:val="0"/>
      <w:marBottom w:val="0"/>
      <w:divBdr>
        <w:top w:val="none" w:sz="0" w:space="0" w:color="auto"/>
        <w:left w:val="none" w:sz="0" w:space="0" w:color="auto"/>
        <w:bottom w:val="none" w:sz="0" w:space="0" w:color="auto"/>
        <w:right w:val="none" w:sz="0" w:space="0" w:color="auto"/>
      </w:divBdr>
    </w:div>
    <w:div w:id="1208032294">
      <w:bodyDiv w:val="1"/>
      <w:marLeft w:val="0"/>
      <w:marRight w:val="0"/>
      <w:marTop w:val="0"/>
      <w:marBottom w:val="0"/>
      <w:divBdr>
        <w:top w:val="none" w:sz="0" w:space="0" w:color="auto"/>
        <w:left w:val="none" w:sz="0" w:space="0" w:color="auto"/>
        <w:bottom w:val="none" w:sz="0" w:space="0" w:color="auto"/>
        <w:right w:val="none" w:sz="0" w:space="0" w:color="auto"/>
      </w:divBdr>
    </w:div>
    <w:div w:id="1223561951">
      <w:bodyDiv w:val="1"/>
      <w:marLeft w:val="0"/>
      <w:marRight w:val="0"/>
      <w:marTop w:val="0"/>
      <w:marBottom w:val="0"/>
      <w:divBdr>
        <w:top w:val="none" w:sz="0" w:space="0" w:color="auto"/>
        <w:left w:val="none" w:sz="0" w:space="0" w:color="auto"/>
        <w:bottom w:val="none" w:sz="0" w:space="0" w:color="auto"/>
        <w:right w:val="none" w:sz="0" w:space="0" w:color="auto"/>
      </w:divBdr>
    </w:div>
    <w:div w:id="1412971584">
      <w:bodyDiv w:val="1"/>
      <w:marLeft w:val="0"/>
      <w:marRight w:val="0"/>
      <w:marTop w:val="0"/>
      <w:marBottom w:val="0"/>
      <w:divBdr>
        <w:top w:val="none" w:sz="0" w:space="0" w:color="auto"/>
        <w:left w:val="none" w:sz="0" w:space="0" w:color="auto"/>
        <w:bottom w:val="none" w:sz="0" w:space="0" w:color="auto"/>
        <w:right w:val="none" w:sz="0" w:space="0" w:color="auto"/>
      </w:divBdr>
    </w:div>
    <w:div w:id="1419056738">
      <w:bodyDiv w:val="1"/>
      <w:marLeft w:val="0"/>
      <w:marRight w:val="0"/>
      <w:marTop w:val="0"/>
      <w:marBottom w:val="0"/>
      <w:divBdr>
        <w:top w:val="none" w:sz="0" w:space="0" w:color="auto"/>
        <w:left w:val="none" w:sz="0" w:space="0" w:color="auto"/>
        <w:bottom w:val="none" w:sz="0" w:space="0" w:color="auto"/>
        <w:right w:val="none" w:sz="0" w:space="0" w:color="auto"/>
      </w:divBdr>
    </w:div>
    <w:div w:id="1575504292">
      <w:bodyDiv w:val="1"/>
      <w:marLeft w:val="0"/>
      <w:marRight w:val="0"/>
      <w:marTop w:val="0"/>
      <w:marBottom w:val="0"/>
      <w:divBdr>
        <w:top w:val="none" w:sz="0" w:space="0" w:color="auto"/>
        <w:left w:val="none" w:sz="0" w:space="0" w:color="auto"/>
        <w:bottom w:val="none" w:sz="0" w:space="0" w:color="auto"/>
        <w:right w:val="none" w:sz="0" w:space="0" w:color="auto"/>
      </w:divBdr>
    </w:div>
    <w:div w:id="1671323032">
      <w:bodyDiv w:val="1"/>
      <w:marLeft w:val="0"/>
      <w:marRight w:val="0"/>
      <w:marTop w:val="0"/>
      <w:marBottom w:val="0"/>
      <w:divBdr>
        <w:top w:val="none" w:sz="0" w:space="0" w:color="auto"/>
        <w:left w:val="none" w:sz="0" w:space="0" w:color="auto"/>
        <w:bottom w:val="none" w:sz="0" w:space="0" w:color="auto"/>
        <w:right w:val="none" w:sz="0" w:space="0" w:color="auto"/>
      </w:divBdr>
    </w:div>
    <w:div w:id="1761490552">
      <w:bodyDiv w:val="1"/>
      <w:marLeft w:val="0"/>
      <w:marRight w:val="0"/>
      <w:marTop w:val="0"/>
      <w:marBottom w:val="0"/>
      <w:divBdr>
        <w:top w:val="none" w:sz="0" w:space="0" w:color="auto"/>
        <w:left w:val="none" w:sz="0" w:space="0" w:color="auto"/>
        <w:bottom w:val="none" w:sz="0" w:space="0" w:color="auto"/>
        <w:right w:val="none" w:sz="0" w:space="0" w:color="auto"/>
      </w:divBdr>
    </w:div>
    <w:div w:id="1862666926">
      <w:bodyDiv w:val="1"/>
      <w:marLeft w:val="0"/>
      <w:marRight w:val="0"/>
      <w:marTop w:val="0"/>
      <w:marBottom w:val="0"/>
      <w:divBdr>
        <w:top w:val="none" w:sz="0" w:space="0" w:color="auto"/>
        <w:left w:val="none" w:sz="0" w:space="0" w:color="auto"/>
        <w:bottom w:val="none" w:sz="0" w:space="0" w:color="auto"/>
        <w:right w:val="none" w:sz="0" w:space="0" w:color="auto"/>
      </w:divBdr>
    </w:div>
    <w:div w:id="1902908295">
      <w:bodyDiv w:val="1"/>
      <w:marLeft w:val="0"/>
      <w:marRight w:val="0"/>
      <w:marTop w:val="0"/>
      <w:marBottom w:val="0"/>
      <w:divBdr>
        <w:top w:val="none" w:sz="0" w:space="0" w:color="auto"/>
        <w:left w:val="none" w:sz="0" w:space="0" w:color="auto"/>
        <w:bottom w:val="none" w:sz="0" w:space="0" w:color="auto"/>
        <w:right w:val="none" w:sz="0" w:space="0" w:color="auto"/>
      </w:divBdr>
    </w:div>
    <w:div w:id="1970044612">
      <w:bodyDiv w:val="1"/>
      <w:marLeft w:val="0"/>
      <w:marRight w:val="0"/>
      <w:marTop w:val="0"/>
      <w:marBottom w:val="0"/>
      <w:divBdr>
        <w:top w:val="none" w:sz="0" w:space="0" w:color="auto"/>
        <w:left w:val="none" w:sz="0" w:space="0" w:color="auto"/>
        <w:bottom w:val="none" w:sz="0" w:space="0" w:color="auto"/>
        <w:right w:val="none" w:sz="0" w:space="0" w:color="auto"/>
      </w:divBdr>
    </w:div>
    <w:div w:id="2008828662">
      <w:bodyDiv w:val="1"/>
      <w:marLeft w:val="0"/>
      <w:marRight w:val="0"/>
      <w:marTop w:val="0"/>
      <w:marBottom w:val="0"/>
      <w:divBdr>
        <w:top w:val="none" w:sz="0" w:space="0" w:color="auto"/>
        <w:left w:val="none" w:sz="0" w:space="0" w:color="auto"/>
        <w:bottom w:val="none" w:sz="0" w:space="0" w:color="auto"/>
        <w:right w:val="none" w:sz="0" w:space="0" w:color="auto"/>
      </w:divBdr>
    </w:div>
    <w:div w:id="2013560031">
      <w:bodyDiv w:val="1"/>
      <w:marLeft w:val="0"/>
      <w:marRight w:val="0"/>
      <w:marTop w:val="0"/>
      <w:marBottom w:val="0"/>
      <w:divBdr>
        <w:top w:val="none" w:sz="0" w:space="0" w:color="auto"/>
        <w:left w:val="none" w:sz="0" w:space="0" w:color="auto"/>
        <w:bottom w:val="none" w:sz="0" w:space="0" w:color="auto"/>
        <w:right w:val="none" w:sz="0" w:space="0" w:color="auto"/>
      </w:divBdr>
      <w:divsChild>
        <w:div w:id="1559783065">
          <w:marLeft w:val="0"/>
          <w:marRight w:val="0"/>
          <w:marTop w:val="0"/>
          <w:marBottom w:val="0"/>
          <w:divBdr>
            <w:top w:val="none" w:sz="0" w:space="0" w:color="auto"/>
            <w:left w:val="none" w:sz="0" w:space="0" w:color="auto"/>
            <w:bottom w:val="none" w:sz="0" w:space="0" w:color="auto"/>
            <w:right w:val="none" w:sz="0" w:space="0" w:color="auto"/>
          </w:divBdr>
        </w:div>
        <w:div w:id="429351564">
          <w:marLeft w:val="0"/>
          <w:marRight w:val="0"/>
          <w:marTop w:val="0"/>
          <w:marBottom w:val="0"/>
          <w:divBdr>
            <w:top w:val="none" w:sz="0" w:space="0" w:color="auto"/>
            <w:left w:val="none" w:sz="0" w:space="0" w:color="auto"/>
            <w:bottom w:val="none" w:sz="0" w:space="0" w:color="auto"/>
            <w:right w:val="none" w:sz="0" w:space="0" w:color="auto"/>
          </w:divBdr>
        </w:div>
        <w:div w:id="1039160235">
          <w:marLeft w:val="0"/>
          <w:marRight w:val="0"/>
          <w:marTop w:val="0"/>
          <w:marBottom w:val="0"/>
          <w:divBdr>
            <w:top w:val="none" w:sz="0" w:space="0" w:color="auto"/>
            <w:left w:val="none" w:sz="0" w:space="0" w:color="auto"/>
            <w:bottom w:val="none" w:sz="0" w:space="0" w:color="auto"/>
            <w:right w:val="none" w:sz="0" w:space="0" w:color="auto"/>
          </w:divBdr>
        </w:div>
        <w:div w:id="1546598307">
          <w:marLeft w:val="0"/>
          <w:marRight w:val="0"/>
          <w:marTop w:val="0"/>
          <w:marBottom w:val="0"/>
          <w:divBdr>
            <w:top w:val="none" w:sz="0" w:space="0" w:color="auto"/>
            <w:left w:val="none" w:sz="0" w:space="0" w:color="auto"/>
            <w:bottom w:val="none" w:sz="0" w:space="0" w:color="auto"/>
            <w:right w:val="none" w:sz="0" w:space="0" w:color="auto"/>
          </w:divBdr>
          <w:divsChild>
            <w:div w:id="186548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410283">
      <w:bodyDiv w:val="1"/>
      <w:marLeft w:val="0"/>
      <w:marRight w:val="0"/>
      <w:marTop w:val="0"/>
      <w:marBottom w:val="0"/>
      <w:divBdr>
        <w:top w:val="none" w:sz="0" w:space="0" w:color="auto"/>
        <w:left w:val="none" w:sz="0" w:space="0" w:color="auto"/>
        <w:bottom w:val="none" w:sz="0" w:space="0" w:color="auto"/>
        <w:right w:val="none" w:sz="0" w:space="0" w:color="auto"/>
      </w:divBdr>
    </w:div>
    <w:div w:id="2128042367">
      <w:bodyDiv w:val="1"/>
      <w:marLeft w:val="0"/>
      <w:marRight w:val="0"/>
      <w:marTop w:val="0"/>
      <w:marBottom w:val="0"/>
      <w:divBdr>
        <w:top w:val="none" w:sz="0" w:space="0" w:color="auto"/>
        <w:left w:val="none" w:sz="0" w:space="0" w:color="auto"/>
        <w:bottom w:val="none" w:sz="0" w:space="0" w:color="auto"/>
        <w:right w:val="none" w:sz="0" w:space="0" w:color="auto"/>
      </w:divBdr>
      <w:divsChild>
        <w:div w:id="1940409746">
          <w:marLeft w:val="0"/>
          <w:marRight w:val="0"/>
          <w:marTop w:val="0"/>
          <w:marBottom w:val="0"/>
          <w:divBdr>
            <w:top w:val="none" w:sz="0" w:space="0" w:color="auto"/>
            <w:left w:val="none" w:sz="0" w:space="0" w:color="auto"/>
            <w:bottom w:val="none" w:sz="0" w:space="0" w:color="auto"/>
            <w:right w:val="none" w:sz="0" w:space="0" w:color="auto"/>
          </w:divBdr>
        </w:div>
      </w:divsChild>
    </w:div>
    <w:div w:id="2137291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24750158.2025.2542327"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Black">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Sin04</b:Tag>
    <b:SourceType>JournalArticle</b:SourceType>
    <b:Guid>{7BCB893F-CC2C-D645-A98C-D1E72F7B1D1D}</b:Guid>
    <b:Title>Implementing e-Learning Programmes for Higher Education</b:Title>
    <b:Year>2004</b:Year>
    <b:Pages>314-323</b:Pages>
    <b:JournalName>Journal of Information Technology Education</b:JournalName>
    <b:Volume>3</b:Volume>
    <b:Author>
      <b:Author>
        <b:NameList>
          <b:Person>
            <b:Last>Singh</b:Last>
            <b:Middle>K.</b:Middle>
            <b:First>O'Neill</b:First>
          </b:Person>
          <b:Person>
            <b:Last>O'Donoghue</b:Last>
            <b:First>J.</b:First>
          </b:Person>
        </b:NameList>
      </b:Author>
    </b:Author>
    <b:RefOrder>1</b:RefOrder>
  </b:Source>
  <b:Source>
    <b:Tag>Liz06</b:Tag>
    <b:SourceType>Report</b:SourceType>
    <b:Guid>{A4C1BC00-95C4-2F45-A8B9-8B017C5F8E66}</b:Guid>
    <b:Title>Designing an Orientation and transition strategy for commencing students</b:Title>
    <b:Publisher>Griffith University</b:Publisher>
    <b:City>Queensland</b:City>
    <b:Year>2006</b:Year>
    <b:Author>
      <b:Author>
        <b:NameList>
          <b:Person>
            <b:Last>Lizzio</b:Last>
            <b:First>Alf</b:First>
          </b:Person>
        </b:NameList>
      </b:Author>
    </b:Author>
    <b:RefOrder>2</b:RefOrder>
  </b:Source>
  <b:Source>
    <b:Tag>LiC13</b:Tag>
    <b:SourceType>JournalArticle</b:SourceType>
    <b:Guid>{45EF1AA9-ACCB-A540-B800-8C6998991954}</b:Guid>
    <b:Title>Engaging Computer Science Students through Gamification in an Online Social Network Based Collaborative Learning Evironment</b:Title>
    <b:JournalName>International Journal of Information and Education Technology</b:JournalName>
    <b:Year>2013</b:Year>
    <b:Pages>72-75</b:Pages>
    <b:Author>
      <b:Author>
        <b:NameList>
          <b:Person>
            <b:Last>Li</b:Last>
            <b:First>Cen</b:First>
          </b:Person>
          <b:Person>
            <b:Last>Dong</b:Last>
            <b:First>Zhijiang</b:First>
          </b:Person>
          <b:Person>
            <b:Last>Untch</b:Last>
            <b:First>Roland</b:First>
          </b:Person>
          <b:Person>
            <b:Last>Chasteen</b:Last>
            <b:First>Michael</b:First>
          </b:Person>
        </b:NameList>
      </b:Author>
    </b:Author>
    <b:RefOrder>3</b:RefOrder>
  </b:Source>
  <b:Source>
    <b:Tag>Dic15</b:Tag>
    <b:SourceType>JournalArticle</b:SourceType>
    <b:Guid>{E73403FB-07E3-7D4E-932A-E1EDF12F79D0}</b:Guid>
    <b:Title>Gamification in Education: A Systematic Mapping Study</b:Title>
    <b:Publisher>International Forum of Educational Technology &amp; Society</b:Publisher>
    <b:Volume>18</b:Volume>
    <b:Year>2015</b:Year>
    <b:Pages>75-88</b:Pages>
    <b:JournalName>Journal of Educational Technology &amp; Society</b:JournalName>
    <b:Month>July</b:Month>
    <b:Author>
      <b:Author>
        <b:NameList>
          <b:Person>
            <b:Last>Dicheva</b:Last>
            <b:First>Darina</b:First>
          </b:Person>
          <b:Person>
            <b:Last>Dichev</b:Last>
            <b:First>Christo</b:First>
          </b:Person>
          <b:Person>
            <b:Last>Agre</b:Last>
            <b:First>Gennady</b:First>
          </b:Person>
          <b:Person>
            <b:Last>Angelova</b:Last>
            <b:First>Galia</b:First>
          </b:Person>
        </b:NameList>
      </b:Author>
    </b:Author>
    <b:RefOrder>4</b:RefOrder>
  </b:Source>
  <b:Source>
    <b:Tag>Lee11</b:Tag>
    <b:SourceType>JournalArticle</b:SourceType>
    <b:Guid>{3E101F0B-03ED-AE4F-92C3-1FC9139943D3}</b:Guid>
    <b:Title>Gamification in Education: What, How, Why Bother?</b:Title>
    <b:JournalName>Academic Exchange Quarterly</b:JournalName>
    <b:Year>2011</b:Year>
    <b:Pages>15-19</b:Pages>
    <b:Author>
      <b:Author>
        <b:NameList>
          <b:Person>
            <b:Last>Lee</b:Last>
            <b:Middle>J.</b:Middle>
            <b:First>Joey</b:First>
          </b:Person>
          <b:Person>
            <b:Last>Hammer</b:Last>
            <b:First>Jessica</b:First>
          </b:Person>
        </b:NameList>
      </b:Author>
    </b:Author>
    <b:RefOrder>5</b:RefOrder>
  </b:Source>
  <b:Source>
    <b:Tag>Wan13</b:Tag>
    <b:SourceType>Book</b:SourceType>
    <b:Guid>{8DF95A71-5142-5F48-8462-D49472521D18}</b:Guid>
    <b:Title>Increasing Student Engagment and Retention using mobile applications</b:Title>
    <b:Publisher>Emerald Group Publishing</b:Publisher>
    <b:City>New York</b:City>
    <b:Year>2013</b:Year>
    <b:Author>
      <b:Author>
        <b:NameList>
          <b:Person>
            <b:Last>Wankel</b:Last>
            <b:Middle>A.</b:Middle>
            <b:First>Laura</b:First>
          </b:Person>
        </b:NameList>
      </b:Author>
      <b:BookAuthor>
        <b:NameList>
          <b:Person>
            <b:Last>Blessinger</b:Last>
            <b:First>Patrick</b:First>
          </b:Person>
        </b:NameList>
      </b:BookAuthor>
    </b:Author>
    <b:RefOrder>6</b:RefOrder>
  </b:Source>
  <b:Source>
    <b:Tag>LZh04</b:Tag>
    <b:SourceType>Report</b:SourceType>
    <b:Guid>{FCB89C9D-BEC8-0D48-9772-7C7739B037C3}</b:Guid>
    <b:Title>The Effects of Various Animation Strategies in Facilitating the Achievement of Students on Tests Measuring Different Educational Objectives.</b:Title>
    <b:City>Chicago</b:City>
    <b:Publisher>ERIC</b:Publisher>
    <b:Year>2004</b:Year>
    <b:Month>October</b:Month>
    <b:Author>
      <b:Author>
        <b:NameList>
          <b:Person>
            <b:Last>L.</b:Last>
            <b:First>Zhu</b:First>
          </b:Person>
          <b:Person>
            <b:Last>Grabowski</b:Last>
            <b:First>B.</b:First>
          </b:Person>
        </b:NameList>
      </b:Author>
    </b:Author>
    <b:RefOrder>7</b:RefOrder>
  </b:Source>
  <b:Source>
    <b:Tag>Hua13</b:Tag>
    <b:SourceType>Report</b:SourceType>
    <b:Guid>{F5478532-DB52-D443-9761-CB6F04A207FC}</b:Guid>
    <b:Title>A practitioner's Guide to Gamification of Education</b:Title>
    <b:Publisher>Rotman School of Management</b:Publisher>
    <b:City>Toronto</b:City>
    <b:Year>2013</b:Year>
    <b:Author>
      <b:Author>
        <b:NameList>
          <b:Person>
            <b:Last>Huang</b:Last>
            <b:Middle>Hsin-Yuan</b:Middle>
            <b:First>Wendy</b:First>
          </b:Person>
          <b:Person>
            <b:Last>Soman</b:Last>
            <b:First>Dilip</b:First>
          </b:Person>
        </b:NameList>
      </b:Author>
    </b:Author>
    <b:RefOrder>8</b:RefOrder>
  </b:Source>
  <b:Source>
    <b:Tag>Gee08</b:Tag>
    <b:SourceType>Report</b:SourceType>
    <b:Guid>{0F6CF839-9BEB-B04A-8C83-6486DE183BB6}</b:Guid>
    <b:Title>The ecology of games: Connecting youth, games and learning.</b:Title>
    <b:Publisher>The MIT Press</b:Publisher>
    <b:City>Cambridge </b:City>
    <b:Year>2008</b:Year>
    <b:Author>
      <b:Author>
        <b:NameList>
          <b:Person>
            <b:Last>Gee</b:Last>
            <b:First>J.P</b:First>
          </b:Person>
        </b:NameList>
      </b:Author>
    </b:Author>
    <b:RefOrder>9</b:RefOrder>
  </b:Source>
  <b:Source>
    <b:Tag>Kra08</b:Tag>
    <b:SourceType>JournalArticle</b:SourceType>
    <b:Guid>{16076C5C-E0D1-4D48-9035-B825CD8C2B4D}</b:Guid>
    <b:Title>Students' engagement in first-year university</b:Title>
    <b:Year>2008</b:Year>
    <b:Pages>493-505</b:Pages>
    <b:JournalName>Assessment and Evaluation in Higher Education</b:JournalName>
    <b:Author>
      <b:Author>
        <b:NameList>
          <b:Person>
            <b:Last>Krause</b:Last>
            <b:First>K.L</b:First>
          </b:Person>
          <b:Person>
            <b:Last>Coates</b:Last>
            <b:First>H.</b:First>
          </b:Person>
        </b:NameList>
      </b:Author>
    </b:Author>
    <b:RefOrder>10</b:RefOrder>
  </b:Source>
  <b:Source>
    <b:Tag>Rob10</b:Tag>
    <b:SourceType>JournalArticle</b:SourceType>
    <b:Guid>{E7DFAAFE-143A-814B-9AD1-2F370F8A9D73}</b:Guid>
    <b:Title>New benchmarks in Higher Education: Student Engagement in Online Learning</b:Title>
    <b:JournalName>Journal of Education for Business</b:JournalName>
    <b:Year>2010</b:Year>
    <b:Pages>101-109</b:Pages>
    <b:Author>
      <b:Author>
        <b:NameList>
          <b:Person>
            <b:Last>Robinson</b:Last>
            <b:First>Chin Choo</b:First>
          </b:Person>
          <b:Person>
            <b:Last>Hullinger</b:Last>
            <b:First>Hallett</b:First>
          </b:Person>
        </b:NameList>
      </b:Author>
    </b:Author>
    <b:RefOrder>11</b:RefOrder>
  </b:Source>
  <b:Source>
    <b:Tag>Fie04</b:Tag>
    <b:SourceType>JournalArticle</b:SourceType>
    <b:Guid>{7451A3A4-C40B-C140-BDD1-1C08098B6538}</b:Guid>
    <b:Title>Transformative approaches to student voice: theoretical underpinnings, recalcitrant realities.</b:Title>
    <b:JournalName>British Educational Research Journal</b:JournalName>
    <b:Year>2004</b:Year>
    <b:Pages>295-311</b:Pages>
    <b:Author>
      <b:Author>
        <b:NameList>
          <b:Person>
            <b:Last>Fielding</b:Last>
            <b:First>M.</b:First>
          </b:Person>
        </b:NameList>
      </b:Author>
    </b:Author>
    <b:RefOrder>12</b:RefOrder>
  </b:Source>
  <b:Source>
    <b:Tag>Rob07</b:Tag>
    <b:SourceType>JournalArticle</b:SourceType>
    <b:Guid>{E6176DAA-F170-8C4E-ADC8-F380F6A491B8}</b:Guid>
    <b:Title>Theorizing student voice: values &amp; perspectives.</b:Title>
    <b:JournalName>Improving Schools</b:JournalName>
    <b:Year>2007</b:Year>
    <b:Volume>10</b:Volume>
    <b:Pages>5-17</b:Pages>
    <b:Author>
      <b:Author>
        <b:NameList>
          <b:Person>
            <b:Last>Robinson</b:Last>
            <b:First>C.</b:First>
          </b:Person>
          <b:Person>
            <b:Last>Taylor</b:Last>
            <b:First>C.</b:First>
          </b:Person>
        </b:NameList>
      </b:Author>
    </b:Author>
    <b:RefOrder>13</b:RefOrder>
  </b:Source>
  <b:Source>
    <b:Tag>Sal03</b:Tag>
    <b:SourceType>Book</b:SourceType>
    <b:Guid>{31EBD4C0-16E8-3340-A711-7C9BA9886691}</b:Guid>
    <b:Title>Rules of Play: Game design fundamentals.</b:Title>
    <b:Publisher>MIT Press</b:Publisher>
    <b:City>Cambridge</b:City>
    <b:Year>2003</b:Year>
    <b:Author>
      <b:Author>
        <b:NameList>
          <b:Person>
            <b:Last>Salen</b:Last>
            <b:First>K.</b:First>
          </b:Person>
          <b:Person>
            <b:Last>Zimmerman</b:Last>
            <b:First>E.</b:First>
          </b:Person>
        </b:NameList>
      </b:Author>
    </b:Author>
    <b:RefOrder>14</b:RefOrder>
  </b:Source>
  <b:Source>
    <b:Tag>Des16</b:Tag>
    <b:SourceType>JournalArticle</b:SourceType>
    <b:Guid>{6B2A9DB1-77A5-334D-8675-F03033586362}</b:Guid>
    <b:Title>Predictive Analytics: Nudging, Shoving, and Smacking Behaviours in Higher Education</b:Title>
    <b:Year>2016</b:Year>
    <b:Pages>1-11</b:Pages>
    <b:Month>August</b:Month>
    <b:JournalName>Why IT matters to Higher Education: Educause Review</b:JournalName>
    <b:Author>
      <b:Author>
        <b:NameList>
          <b:Person>
            <b:Last>Desouza</b:Last>
            <b:Middle>C</b:Middle>
            <b:First>Kevin</b:First>
          </b:Person>
          <b:Person>
            <b:Last>Smith</b:Last>
            <b:Middle>L.</b:Middle>
            <b:First>Kendra</b:First>
          </b:Person>
        </b:NameList>
      </b:Author>
    </b:Author>
    <b:RefOrder>15</b:RefOrder>
  </b:Source>
  <b:Source>
    <b:Tag>McG11</b:Tag>
    <b:SourceType>Book</b:SourceType>
    <b:Guid>{3F31D7B2-AC34-C442-BE68-C5A637F707E4}</b:Guid>
    <b:Title>Reality is Broken: Why games make us better and how they can change the world</b:Title>
    <b:Publisher>Penguin Press</b:Publisher>
    <b:City>New York</b:City>
    <b:Year>2011</b:Year>
    <b:Author>
      <b:Author>
        <b:NameList>
          <b:Person>
            <b:Last>McGonigal</b:Last>
            <b:First>Jane</b:First>
          </b:Person>
        </b:NameList>
      </b:Author>
    </b:Author>
    <b:StateProvince>NY</b:StateProvince>
    <b:RefOrder>16</b:RefOrder>
  </b:Source>
  <b:Source>
    <b:Tag>Klo09</b:Tag>
    <b:SourceType>InternetSite</b:SourceType>
    <b:Guid>{61685949-B9AE-3C46-B716-B2C02FD3950E}</b:Guid>
    <b:Title>Moving learning games forward</b:Title>
    <b:Publisher>MIT Press</b:Publisher>
    <b:Year>2009</b:Year>
    <b:InternetSiteTitle>MIT</b:InternetSiteTitle>
    <b:URL>http://education.mit.edu/papers/MovingLearningGamesForward_EdArcade.pdf</b:URL>
    <b:Month>Aug</b:Month>
    <b:Day>21</b:Day>
    <b:Author>
      <b:Author>
        <b:NameList>
          <b:Person>
            <b:Last>Klopfer</b:Last>
            <b:First>E.</b:First>
          </b:Person>
          <b:Person>
            <b:Last>Osterweil</b:Last>
            <b:First>S.</b:First>
          </b:Person>
          <b:Person>
            <b:Last>Salen</b:Last>
            <b:First>K.</b:First>
          </b:Person>
        </b:NameList>
      </b:Author>
    </b:Author>
    <b:RefOrder>17</b:RefOrder>
  </b:Source>
  <b:Source>
    <b:Tag>Zic11</b:Tag>
    <b:SourceType>Book</b:SourceType>
    <b:Guid>{F950F945-4ACF-284A-A4F1-E5E3289D133C}</b:Guid>
    <b:Title>Gamification by Design: Implementing Game Mechanics in Web and Mobile Apps</b:Title>
    <b:Year>2011</b:Year>
    <b:Author>
      <b:Author>
        <b:NameList>
          <b:Person>
            <b:Last>Zichermann</b:Last>
            <b:First>Gabe</b:First>
          </b:Person>
          <b:Person>
            <b:Last>Cunningham</b:Last>
            <b:First>Christopher</b:First>
          </b:Person>
        </b:NameList>
      </b:Author>
    </b:Author>
    <b:City>Cambridge</b:City>
    <b:Publisher>O'Reilly</b:Publisher>
    <b:RefOrder>18</b:RefOrder>
  </b:Source>
  <b:Source>
    <b:Tag>Mac11</b:Tag>
    <b:SourceType>DocumentFromInternetSite</b:SourceType>
    <b:Guid>{5C438E71-48AE-654E-AFDE-05F7040AF77C}</b:Guid>
    <b:Title>Gamification: A growing business to invigorate stale websites</b:Title>
    <b:Year>2011</b:Year>
    <b:InternetSiteTitle>Business Week</b:InternetSiteTitle>
    <b:URL>http://www.businessweek.com/magazine/content/11_05/b4213035403146.htm</b:URL>
    <b:Month>January</b:Month>
    <b:Day>19</b:Day>
    <b:Author>
      <b:Author>
        <b:NameList>
          <b:Person>
            <b:Last>MacMillian</b:Last>
          </b:Person>
        </b:NameList>
      </b:Author>
    </b:Author>
    <b:RefOrder>19</b:RefOrder>
  </b:Source>
  <b:Source>
    <b:Tag>Chr16</b:Tag>
    <b:SourceType>InternetSite</b:SourceType>
    <b:Guid>{7E2F8118-D361-415A-BE1B-73C7B18911B8}</b:Guid>
    <b:Title>How to Make Learning Easier than Cheating</b:Title>
    <b:Year>2016</b:Year>
    <b:Author>
      <b:Author>
        <b:NameList>
          <b:Person>
            <b:Last>Bhansali</b:Last>
            <b:First>Christopher</b:First>
            <b:Middle>Pedregal and Shreyans</b:Middle>
          </b:Person>
        </b:NameList>
      </b:Author>
    </b:Author>
    <b:URL>https://www.edsurge.com/news/2016-07-23-how-to-make-learning-easier-than-cheating</b:URL>
    <b:InternetSiteTitle>Edsurge</b:InternetSiteTitle>
    <b:RefOrder>20</b:RefOrder>
  </b:Source>
  <b:Source>
    <b:Tag>Mar17</b:Tag>
    <b:SourceType>Report</b:SourceType>
    <b:Guid>{C5F09A72-F59C-4984-AD87-E0B3255FBC6C}</b:Guid>
    <b:Author>
      <b:Author>
        <b:NameList>
          <b:Person>
            <b:Last>Marjolin</b:Last>
            <b:First>A</b:First>
          </b:Person>
          <b:Person>
            <b:Last>Muir</b:Last>
            <b:First>K</b:First>
          </b:Person>
          <b:Person>
            <b:Last>Ramai</b:Last>
            <b:First>I</b:First>
          </b:Person>
          <b:Person>
            <b:Last>Powell</b:Last>
            <b:First>A</b:First>
          </b:Person>
        </b:NameList>
      </b:Author>
    </b:Author>
    <b:Title>Why is financial stress increasing? Financial Resilience in Australia 2016 -Part 1</b:Title>
    <b:Year>2017</b:Year>
    <b:Publisher>Centre for Social Impact, UNSW.</b:Publisher>
    <b:City>Sydney</b:City>
    <b:RefOrder>21</b:RefOrder>
  </b:Source>
  <b:Source>
    <b:Tag>Mui15</b:Tag>
    <b:SourceType>Report</b:SourceType>
    <b:Guid>{4B6887BA-C02B-435A-B34D-971C40CC3F33}</b:Guid>
    <b:Title>Eitht years on the fringe: what has it meant to be severely of fully financially excluded in Australia?</b:Title>
    <b:Year>2015</b:Year>
    <b:Publisher>Centre for Social Impact for the National Australia Bank</b:Publisher>
    <b:City>Sydney</b:City>
    <b:Author>
      <b:Author>
        <b:NameList>
          <b:Person>
            <b:Last>Muir</b:Last>
            <b:First>K</b:First>
          </b:Person>
          <b:Person>
            <b:Last>Marjolin</b:Last>
            <b:First>A</b:First>
          </b:Person>
          <b:Person>
            <b:Last>Adams</b:Last>
            <b:First>S</b:First>
          </b:Person>
        </b:NameList>
      </b:Author>
    </b:Author>
    <b:RefOrder>22</b:RefOrder>
  </b:Source>
  <b:Source>
    <b:Tag>New00</b:Tag>
    <b:SourceType>JournalArticle</b:SourceType>
    <b:Guid>{5E45F1EB-20FF-4489-8BBD-DBACB12590B9}</b:Guid>
    <b:Title>Student poverty at The University Of Ballarat</b:Title>
    <b:Year>2000</b:Year>
    <b:JournalName>Australian Journal of Social Issues, issue 35</b:JournalName>
    <b:Pages> 35: 251–265</b:Pages>
    <b:Author>
      <b:Author>
        <b:NameList>
          <b:Person>
            <b:Last>Newton</b:Last>
            <b:First>J</b:First>
          </b:Person>
          <b:Person>
            <b:Last>Turale</b:Last>
            <b:First>S</b:First>
          </b:Person>
        </b:NameList>
      </b:Author>
    </b:Author>
    <b:RefOrder>23</b:RefOrder>
  </b:Source>
  <b:Source>
    <b:Tag>Uni17</b:Tag>
    <b:SourceType>ElectronicSource</b:SourceType>
    <b:Guid>{1E1BC42E-E7A1-4EAF-8CBB-67F8BCDF9A63}</b:Guid>
    <b:Title>LTSU Survey Data</b:Title>
    <b:Year>2017</b:Year>
    <b:Author>
      <b:Author>
        <b:Corporate>Student Union, La Trobe University </b:Corporate>
      </b:Author>
    </b:Author>
    <b:City>Melbourne</b:City>
    <b:StateProvince>Victoria</b:StateProvince>
    <b:CountryRegion>Australia</b:CountryRegion>
    <b:RefOrder>24</b:RefOrder>
  </b:Source>
  <b:Source>
    <b:Tag>Sel001</b:Tag>
    <b:SourceType>JournalArticle</b:SourceType>
    <b:Guid>{831312C2-2C09-4F43-B5C7-CFDB6A43CD1D}</b:Guid>
    <b:Title>Positive Psychology: An Introduction</b:Title>
    <b:JournalName>The American Psychologist, 55(1),</b:JournalName>
    <b:Year>2000</b:Year>
    <b:Pages>5-14</b:Pages>
    <b:Author>
      <b:Author>
        <b:NameList>
          <b:Person>
            <b:Last>Seligman</b:Last>
            <b:First>M</b:First>
          </b:Person>
          <b:Person>
            <b:Last>Csikszenzentmihalyi</b:Last>
            <b:First>M</b:First>
          </b:Person>
        </b:NameList>
      </b:Author>
    </b:Author>
    <b:RefOrder>1</b:RefOrder>
  </b:Source>
  <b:Source>
    <b:Tag>Lyu09</b:Tag>
    <b:SourceType>JournalArticle</b:SourceType>
    <b:Guid>{CC9CC3B7-9BA3-DD49-93C0-6C9B9139DEE8}</b:Guid>
    <b:Title>Enhancing Well-Being and Alleviating DepressiveSymptoms With Positive Psychology Interventions:A Practice-Friendly Meta-Analysis</b:Title>
    <b:JournalName>JOURNAL OF CLINICAL PSYCHOLOGY: </b:JournalName>
    <b:Year>2009</b:Year>
    <b:Pages>467-487</b:Pages>
    <b:Author>
      <b:Author>
        <b:NameList>
          <b:Person>
            <b:Last>Lyubomirsky</b:Last>
            <b:First>S</b:First>
          </b:Person>
          <b:Person>
            <b:Last>Sin</b:Last>
            <b:First>N</b:First>
          </b:Person>
        </b:NameList>
      </b:Author>
    </b:Author>
    <b:RefOrder>2</b:RefOrder>
  </b:Source>
  <b:Source>
    <b:Tag>Pra20</b:Tag>
    <b:SourceType>DocumentFromInternetSite</b:SourceType>
    <b:Guid>{D196862E-EC74-4632-99C4-8ED59B29D293}</b:Guid>
    <b:Title>Impact of COVID-19 on Students' Mental Health</b:Title>
    <b:Year>2020</b:Year>
    <b:Author>
      <b:Author>
        <b:NameList>
          <b:Person>
            <b:Last>Shukla</b:Last>
            <b:First>Pragati</b:First>
          </b:Person>
        </b:NameList>
      </b:Author>
    </b:Author>
    <b:InternetSiteTitle>Psychreg</b:InternetSiteTitle>
    <b:Month>August</b:Month>
    <b:Day>10</b:Day>
    <b:URL>https://www.psychreg.org/impact-of-covid-19-on-students-mental-health-and-well-being/</b:URL>
    <b:RefOrder>3</b:RefOrder>
  </b:Source>
  <b:Source>
    <b:Tag>CDS20</b:Tag>
    <b:SourceType>Report</b:SourceType>
    <b:Guid>{EF1A77F2-F50A-422A-BB31-21CC9D2E32A3}</b:Guid>
    <b:Title>Client Report: Jan - July </b:Title>
    <b:Year>2020</b:Year>
    <b:Author>
      <b:Author>
        <b:Corporate>CDS Database, Advocacy Dep't, LTSU.</b:Corporate>
      </b:Author>
    </b:Author>
    <b:RefOrder>4</b:RefOrder>
  </b:Source>
  <b:Source>
    <b:Tag>Wad15</b:Tag>
    <b:SourceType>Book</b:SourceType>
    <b:Guid>{0171C09F-5BF0-9543-859B-32AFC3EC2CCC}</b:Guid>
    <b:Title>Positive Psychology on the College Campus</b:Title>
    <b:Year>2015</b:Year>
    <b:City>London</b:City>
    <b:Publisher>Oxford University Press</b:Publisher>
    <b:Author>
      <b:Author>
        <b:NameList>
          <b:Person>
            <b:Last>Wade</b:Last>
            <b:First>J</b:First>
          </b:Person>
          <b:Person>
            <b:Last>Marks</b:Last>
            <b:First>L</b:First>
          </b:Person>
          <b:Person>
            <b:Last>Hetzel</b:Last>
            <b:First>R</b:First>
          </b:Person>
        </b:NameList>
      </b:Author>
    </b:Author>
    <b:RefOrder>5</b:RefOrder>
  </b:Source>
  <b:Source>
    <b:Tag>Nie181</b:Tag>
    <b:SourceType>Book</b:SourceType>
    <b:Guid>{5B48045E-4EDF-4645-8EA8-7927341AD3DB}</b:Guid>
    <b:Title>Character Strengths Interventions: A Field Guide for Practitioners</b:Title>
    <b:Publisher>Hogrefe</b:Publisher>
    <b:Year>2018</b:Year>
    <b:Author>
      <b:Author>
        <b:NameList>
          <b:Person>
            <b:Last>Niemiec</b:Last>
            <b:First>R</b:First>
          </b:Person>
        </b:NameList>
      </b:Author>
    </b:Author>
    <b:RefOrder>6</b:RefOrder>
  </b:Source>
  <b:Source>
    <b:Tag>VIA201</b:Tag>
    <b:SourceType>InternetSite</b:SourceType>
    <b:Guid>{475808EF-F1C2-C04C-8FE5-4EBF85D409F8}</b:Guid>
    <b:Title>Sharacter Strengths</b:Title>
    <b:InternetSiteTitle>VIA</b:InternetSiteTitle>
    <b:URL>https://www.viacharacter.org/</b:URL>
    <b:Year>2020</b:Year>
    <b:Month>April</b:Month>
    <b:Author>
      <b:Author>
        <b:Corporate>VIA Institute of Character</b:Corporate>
      </b:Author>
    </b:Author>
    <b:RefOrder>7</b:RefOrder>
  </b:Source>
  <b:Source>
    <b:Tag>Rya00</b:Tag>
    <b:SourceType>JournalArticle</b:SourceType>
    <b:Guid>{71A7E516-7E33-4C6C-A45B-A6F6344FDA09}</b:Guid>
    <b:Title>Self-Determination Theory and the Facilitation of Intrinsic Motivation, Social Development, and Well-Being</b:Title>
    <b:Year>2000</b:Year>
    <b:JournalName>American Psychologist</b:JournalName>
    <b:Pages>68-70</b:Pages>
    <b:Author>
      <b:Author>
        <b:NameList>
          <b:Person>
            <b:Last>Ryan</b:Last>
            <b:First>R</b:First>
          </b:Person>
          <b:Person>
            <b:Last>Deci</b:Last>
            <b:First>E</b:First>
          </b:Person>
        </b:NameList>
      </b:Author>
    </b:Author>
    <b:RefOrder>8</b:RefOrder>
  </b:Source>
  <b:Source>
    <b:Tag>ASI</b:Tag>
    <b:SourceType>InternetSite</b:SourceType>
    <b:Guid>{98EA15EE-866C-A04A-A3E4-49D7F80A6AF8}</b:Guid>
    <b:Title>Money Smart - student life and money</b:Title>
    <b:Author>
      <b:Author>
        <b:Corporate>ASIC</b:Corporate>
      </b:Author>
    </b:Author>
    <b:InternetSiteTitle>Money Smart</b:InternetSiteTitle>
    <b:URL>https://moneysmart.gov.au/student-life-and-money</b:URL>
    <b:Year>2020</b:Year>
    <b:Month>April</b:Month>
    <b:Day>10</b:Day>
    <b:RefOrder>9</b:RefOrder>
  </b:Source>
  <b:Source>
    <b:Tag>LaT20</b:Tag>
    <b:SourceType>InternetSite</b:SourceType>
    <b:Guid>{F03620BB-E596-3643-8AE1-12A2EE6D135E}</b:Guid>
    <b:Title>How can financial counselling help you as a student ?</b:Title>
    <b:Year>2020</b:Year>
    <b:InternetSiteTitle>La Trobe Student Union</b:InternetSiteTitle>
    <b:URL>https://latrobesu.org.au/financialcounselling</b:URL>
    <b:Month>April</b:Month>
    <b:Day>20</b:Day>
    <b:Author>
      <b:Author>
        <b:Corporate>La Trobe University, Student Union</b:Corporate>
      </b:Author>
    </b:Author>
    <b:City>Melbourne</b:City>
    <b:StateProvince>Vic</b:StateProvince>
    <b:CountryRegion>Australia</b:CountryRegion>
    <b:RefOrder>10</b:RefOrder>
  </b:Source>
  <b:Source>
    <b:Tag>Lom14</b:Tag>
    <b:SourceType>Book</b:SourceType>
    <b:Guid>{5F03313A-8CCD-2446-8C6A-609FC4C942A0}</b:Guid>
    <b:Title>Applied Positive Psychology:Integrated Positive Practice</b:Title>
    <b:Year>2014</b:Year>
    <b:Publisher>Sage Publications</b:Publisher>
    <b:Author>
      <b:Author>
        <b:NameList>
          <b:Person>
            <b:Last>Lomas</b:Last>
            <b:First>T</b:First>
          </b:Person>
          <b:Person>
            <b:Last>Hefferon</b:Last>
            <b:First>K</b:First>
          </b:Person>
          <b:Person>
            <b:Last>Ivtzan</b:Last>
            <b:First>I</b:First>
          </b:Person>
        </b:NameList>
      </b:Author>
    </b:Author>
    <b:RefOrder>12</b:RefOrder>
  </b:Source>
  <b:Source>
    <b:Tag>Oad11</b:Tag>
    <b:SourceType>JournalArticle</b:SourceType>
    <b:Guid>{133FC9DF-490E-B24A-87A8-218C43096368}</b:Guid>
    <b:Title>Towards a positive university</b:Title>
    <b:Year>2011</b:Year>
    <b:Author>
      <b:Author>
        <b:NameList>
          <b:Person>
            <b:Last>Oades</b:Last>
            <b:First>L</b:First>
          </b:Person>
          <b:Person>
            <b:Last>Robinson</b:Last>
            <b:First>P</b:First>
          </b:Person>
          <b:Person>
            <b:Last>Green</b:Last>
            <b:First>S</b:First>
          </b:Person>
          <b:Person>
            <b:Last>Spencer</b:Last>
            <b:First>G</b:First>
          </b:Person>
        </b:NameList>
      </b:Author>
    </b:Author>
    <b:JournalName>the Journal of Positive Psychology</b:JournalName>
    <b:Pages>434</b:Pages>
    <b:RefOrder>13</b:RefOrder>
  </b:Source>
  <b:Source>
    <b:Tag>Min20</b:Tag>
    <b:SourceType>InternetSite</b:SourceType>
    <b:Guid>{EC65CFA4-4947-3C46-8E59-C3562F2599C2}</b:Guid>
    <b:Title>Smiling Mind</b:Title>
    <b:Year>2020</b:Year>
    <b:Author>
      <b:Author>
        <b:Corporate>Mindfit at work</b:Corporate>
      </b:Author>
    </b:Author>
    <b:InternetSiteTitle>MindFit</b:InternetSiteTitle>
    <b:URL>https://www.mindfitatwork.com.au/</b:URL>
    <b:Month>May</b:Month>
    <b:Day>12</b:Day>
    <b:RefOrder>14</b:RefOrder>
  </b:Source>
  <b:Source>
    <b:Tag>Sun20</b:Tag>
    <b:SourceType>InternetSite</b:SourceType>
    <b:Guid>{29FF5FD1-77ED-0B44-8486-56966059D980}</b:Guid>
    <b:Author>
      <b:Author>
        <b:Corporate>Suncorp</b:Corporate>
      </b:Author>
    </b:Author>
    <b:Title>What really makes a happy person ?</b:Title>
    <b:InternetSiteTitle>Suncorp - money habits</b:InternetSiteTitle>
    <b:URL>https://www.suncorp.com.au/learn-about/health/what-makes-a-happy-person.html</b:URL>
    <b:Year>2020</b:Year>
    <b:Month>April</b:Month>
    <b:Day>15</b:Day>
    <b:RefOrder>15</b:RefOrder>
  </b:Source>
  <b:Source>
    <b:Tag>Flo20</b:Tag>
    <b:SourceType>DocumentFromInternetSite</b:SourceType>
    <b:Guid>{88411D5E-1AA6-D748-A30A-D2E49A0B8AAC}</b:Guid>
    <b:Title>SBS News</b:Title>
    <b:InternetSiteTitle>SBS</b:InternetSiteTitle>
    <b:URL>https://www.sbs.com.au/news/australia-s-international-students-are-going-hungry-with-60-per-cent-now-unemployed?cid=sbsnews:edm:newsam:relation:news:na:na  </b:URL>
    <b:Year>2020</b:Year>
    <b:Month>August</b:Month>
    <b:Day>17</b:Day>
    <b:Author>
      <b:Author>
        <b:NameList>
          <b:Person>
            <b:Last>Florez</b:Last>
            <b:First>C</b:First>
          </b:Person>
        </b:NameList>
      </b:Author>
    </b:Author>
    <b:RefOrder>11</b:RefOrder>
  </b:Source>
</b:Sources>
</file>

<file path=customXml/itemProps1.xml><?xml version="1.0" encoding="utf-8"?>
<ds:datastoreItem xmlns:ds="http://schemas.openxmlformats.org/officeDocument/2006/customXml" ds:itemID="{33BF65DE-5DC5-443B-A87A-73CBD83EC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5982</Words>
  <Characters>34098</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McHugh</dc:creator>
  <cp:keywords/>
  <dc:description/>
  <cp:lastModifiedBy>Nina Thomas</cp:lastModifiedBy>
  <cp:revision>2</cp:revision>
  <cp:lastPrinted>2021-05-06T02:15:00Z</cp:lastPrinted>
  <dcterms:created xsi:type="dcterms:W3CDTF">2026-07-06T03:46:00Z</dcterms:created>
  <dcterms:modified xsi:type="dcterms:W3CDTF">2026-07-06T03:46:00Z</dcterms:modified>
</cp:coreProperties>
</file>