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3B8B" w14:textId="77777777" w:rsidR="00B53D40" w:rsidRDefault="003E38AA" w:rsidP="00B53D40">
      <w:pPr>
        <w:pStyle w:val="JANZSSAArticlehead"/>
        <w:contextualSpacing/>
      </w:pPr>
      <w:bookmarkStart w:id="0" w:name="_Hlk24277369"/>
      <w:r w:rsidRPr="003E38AA">
        <w:t xml:space="preserve">The Hidden Barrier: </w:t>
      </w:r>
    </w:p>
    <w:p w14:paraId="3E836BC7" w14:textId="3C376D84" w:rsidR="002022FE" w:rsidRPr="00DC44E3" w:rsidRDefault="003E38AA" w:rsidP="00B53D40">
      <w:pPr>
        <w:pStyle w:val="JANZSSAArticlehead"/>
        <w:contextualSpacing/>
      </w:pPr>
      <w:r w:rsidRPr="003E38AA">
        <w:t>How School Streaming Shapes University Participation in Australia</w:t>
      </w:r>
    </w:p>
    <w:p w14:paraId="100179B1" w14:textId="77777777" w:rsidR="003A7EA9" w:rsidRDefault="003A7EA9" w:rsidP="003A7EA9">
      <w:pPr>
        <w:pStyle w:val="JANZSSAInstitution"/>
        <w:spacing w:before="240" w:after="0"/>
      </w:pPr>
      <w:r>
        <w:t>Andrew Harvey</w:t>
      </w:r>
    </w:p>
    <w:p w14:paraId="23A63E37" w14:textId="77777777" w:rsidR="003A7EA9" w:rsidRDefault="003A7EA9" w:rsidP="003A7EA9">
      <w:pPr>
        <w:pStyle w:val="JANZSSAInstitution"/>
        <w:spacing w:after="0"/>
      </w:pPr>
      <w:r>
        <w:t xml:space="preserve">Lucy Campion </w:t>
      </w:r>
    </w:p>
    <w:p w14:paraId="66652741" w14:textId="77777777" w:rsidR="003A7EA9" w:rsidRDefault="003A7EA9" w:rsidP="003A7EA9">
      <w:pPr>
        <w:pStyle w:val="JANZSSAInstitution"/>
      </w:pPr>
      <w:r>
        <w:t>Rebecca Wren</w:t>
      </w:r>
    </w:p>
    <w:p w14:paraId="5A643998" w14:textId="30497BD4" w:rsidR="00A667F6" w:rsidRDefault="003A7EA9" w:rsidP="003A7EA9">
      <w:pPr>
        <w:pStyle w:val="JANZSSAInstitution"/>
      </w:pPr>
      <w:r w:rsidRPr="003A7EA9">
        <w:t>Griffith University</w:t>
      </w:r>
      <w:r w:rsidR="00792737" w:rsidRPr="00792737">
        <w:t xml:space="preserve"> </w:t>
      </w:r>
    </w:p>
    <w:p w14:paraId="77EEC052" w14:textId="2215B3FB" w:rsidR="002022FE" w:rsidRPr="00DC44E3" w:rsidRDefault="002022FE" w:rsidP="00BB7D85">
      <w:pPr>
        <w:pStyle w:val="JANZSSAHeading1"/>
      </w:pPr>
      <w:r w:rsidRPr="00DC44E3">
        <w:t>Abstract</w:t>
      </w:r>
      <w:r w:rsidR="00D50C70">
        <w:t xml:space="preserve"> </w:t>
      </w:r>
    </w:p>
    <w:p w14:paraId="406B68EA" w14:textId="5B68A7C1" w:rsidR="0005549E" w:rsidRPr="00DC44E3" w:rsidRDefault="003A7EA9" w:rsidP="003A7EA9">
      <w:pPr>
        <w:pStyle w:val="JANZSSAAbstractBody"/>
        <w:rPr>
          <w:rtl/>
        </w:rPr>
      </w:pPr>
      <w:r w:rsidRPr="003A7EA9">
        <w:t>In 2023, a major review of Australian higher education (Australian Universities Accord) advocated sectoral equity and growth, including the expanded participation of Aboriginal and Torres Strait Islander people and other underserved students. Central to increasing growth through equity is the secondary school pipeline, given the high proportion of commencing university students who transition directly from secondary schools. Within the school sector, an under-researched area is the practice of streaming, or tracking, whereby senior secondary students are typically divided into either vocational or higher education pathways. There are other more visible forms of streaming such as school type (e.g.</w:t>
      </w:r>
      <w:r w:rsidR="00E06358">
        <w:t>,</w:t>
      </w:r>
      <w:r w:rsidRPr="003A7EA9">
        <w:t xml:space="preserve"> public, Catholic, independent) but the division between vocational and higher education pathways is less formal and not captured well in systems data. This paper aims to examine the scale and equity implications of senior secondary streaming across multiple Australian jurisdictions, with particular attention to its relationship to higher education access. Drawing on available school and postsecondary data across multiple states and territories, we find that the practice of streaming is extensive, that groups such as Indigenous students are highly over-represented in vocational streams, and that very few students in vocational streams transition directly to higher education. The findings have implications for higher education but also for the school and vocational sectors and the future of the Australian Tertiary Admission Rank (ATAR)</w:t>
      </w:r>
      <w:r w:rsidR="00143D7E">
        <w:t>.</w:t>
      </w:r>
    </w:p>
    <w:p w14:paraId="69A95873" w14:textId="77777777" w:rsidR="00683B3B" w:rsidRPr="00571F4B" w:rsidRDefault="002022FE" w:rsidP="00BB7D85">
      <w:pPr>
        <w:pStyle w:val="JANZSSAHeading1"/>
      </w:pPr>
      <w:r w:rsidRPr="00571F4B">
        <w:t>Keywords</w:t>
      </w:r>
    </w:p>
    <w:p w14:paraId="137EAC5C" w14:textId="4764E722" w:rsidR="00D6009D" w:rsidRPr="006A0AF4" w:rsidRDefault="003A7EA9" w:rsidP="00176032">
      <w:pPr>
        <w:pStyle w:val="JANZSSABodycopy"/>
      </w:pPr>
      <w:r>
        <w:t>H</w:t>
      </w:r>
      <w:r w:rsidRPr="003A7EA9">
        <w:t xml:space="preserve">igher education; </w:t>
      </w:r>
      <w:r>
        <w:t>S</w:t>
      </w:r>
      <w:r w:rsidRPr="003A7EA9">
        <w:t xml:space="preserve">tudent equity; Indigenous education; </w:t>
      </w:r>
      <w:r>
        <w:t>S</w:t>
      </w:r>
      <w:r w:rsidRPr="003A7EA9">
        <w:t>chool streaming</w:t>
      </w:r>
      <w:r w:rsidR="00143D7E">
        <w:t>.</w:t>
      </w:r>
    </w:p>
    <w:p w14:paraId="41E267ED" w14:textId="0503D4E1" w:rsidR="00CE1B0B" w:rsidRDefault="00196760" w:rsidP="00143D7E">
      <w:pPr>
        <w:pStyle w:val="JANZSSAHeading1"/>
        <w:rPr>
          <w:rFonts w:eastAsia="Calibri"/>
          <w:b w:val="0"/>
          <w:iCs/>
          <w:lang w:eastAsia="ja-JP" w:bidi="fa-IR"/>
        </w:rPr>
      </w:pPr>
      <w:r>
        <w:t>Introduction</w:t>
      </w:r>
    </w:p>
    <w:p w14:paraId="1CCCD527" w14:textId="74F0C5A2" w:rsidR="003A7EA9" w:rsidRPr="001819B9" w:rsidRDefault="003A7EA9" w:rsidP="00C41578">
      <w:pPr>
        <w:pStyle w:val="JANZSSABodycopy"/>
        <w:rPr>
          <w:b/>
        </w:rPr>
      </w:pPr>
      <w:r w:rsidRPr="00423E24">
        <w:t xml:space="preserve">The under-representation of Aboriginal and Torres Strait Islander people, respectfully referred to hereafter </w:t>
      </w:r>
      <w:r w:rsidRPr="00423E24" w:rsidDel="00E3437F">
        <w:t>as Indigenous</w:t>
      </w:r>
      <w:r w:rsidRPr="00423E24">
        <w:t>, and other underserved groups in Australian higher education is well</w:t>
      </w:r>
      <w:r w:rsidR="00E06358">
        <w:t xml:space="preserve"> </w:t>
      </w:r>
      <w:r w:rsidRPr="00423E24">
        <w:t>documented and has changed little since the introduction of the 1990 national higher education student equity framework (</w:t>
      </w:r>
      <w:r w:rsidR="00993598">
        <w:t xml:space="preserve">Australian Government </w:t>
      </w:r>
      <w:r w:rsidR="00E6109C" w:rsidRPr="00E6109C">
        <w:t>Department of Education</w:t>
      </w:r>
      <w:r w:rsidRPr="00423E24">
        <w:t>, 202</w:t>
      </w:r>
      <w:r w:rsidR="00E6109C">
        <w:t>4</w:t>
      </w:r>
      <w:r w:rsidRPr="00423E24">
        <w:t xml:space="preserve">; Harvey et al., 2016; Koshy, 2020). Following the 2023 national review of higher education, the </w:t>
      </w:r>
      <w:r w:rsidR="00E06358" w:rsidRPr="00E06358">
        <w:t xml:space="preserve">Australian </w:t>
      </w:r>
      <w:r w:rsidRPr="00423E24">
        <w:t>Universities Accord, the Australian Government set ambitious targets to increase student equity (</w:t>
      </w:r>
      <w:r w:rsidR="00993598" w:rsidRPr="00993598">
        <w:t xml:space="preserve">Australian Government </w:t>
      </w:r>
      <w:r w:rsidR="00E6109C" w:rsidRPr="00E6109C">
        <w:t>Department of Education</w:t>
      </w:r>
      <w:r w:rsidRPr="00423E24">
        <w:t>, 202</w:t>
      </w:r>
      <w:r w:rsidR="00E6109C">
        <w:t>4</w:t>
      </w:r>
      <w:r w:rsidRPr="00423E24">
        <w:t>). Parity of participation was sought for groups such as Indigenous people and people from low socioeconomic status (SES) backgrounds by 2050. There has been some growth in participation of Indigenous students</w:t>
      </w:r>
      <w:r w:rsidR="00981E31">
        <w:t xml:space="preserve"> in higher education</w:t>
      </w:r>
      <w:r w:rsidRPr="00423E24">
        <w:t>, but this growth has largely mirrored community population growth</w:t>
      </w:r>
      <w:r w:rsidR="00C91D38">
        <w:t>. In 2023</w:t>
      </w:r>
      <w:r w:rsidR="00D9726C">
        <w:t>,</w:t>
      </w:r>
      <w:r w:rsidR="00C91D38" w:rsidRPr="00423E24">
        <w:t xml:space="preserve"> </w:t>
      </w:r>
      <w:r w:rsidRPr="00423E24">
        <w:t>Indigenous people still comprise</w:t>
      </w:r>
      <w:r w:rsidR="00D9726C">
        <w:t>d</w:t>
      </w:r>
      <w:r w:rsidRPr="00423E24">
        <w:t xml:space="preserve"> only 2.</w:t>
      </w:r>
      <w:r w:rsidR="00546B5D">
        <w:t>2</w:t>
      </w:r>
      <w:r w:rsidR="00546B5D" w:rsidRPr="00423E24">
        <w:t xml:space="preserve"> </w:t>
      </w:r>
      <w:r w:rsidRPr="00423E24">
        <w:t xml:space="preserve">per cent of the </w:t>
      </w:r>
      <w:r w:rsidR="00BF48D9">
        <w:t xml:space="preserve">domestic </w:t>
      </w:r>
      <w:r w:rsidRPr="00423E24">
        <w:t>higher education population despite representing 3.8 per cent of the Australian population (</w:t>
      </w:r>
      <w:bookmarkStart w:id="1" w:name="_Hlk173483069"/>
      <w:r w:rsidRPr="00423E24">
        <w:t xml:space="preserve">Australian Institute of Health and Welfare, </w:t>
      </w:r>
      <w:bookmarkEnd w:id="1"/>
      <w:r w:rsidR="001E6524" w:rsidRPr="00423E24">
        <w:t>202</w:t>
      </w:r>
      <w:r w:rsidR="001E6524">
        <w:t>5</w:t>
      </w:r>
      <w:r w:rsidRPr="00423E24">
        <w:t>). The proportion of enrolled domestic onshore students from the lowest socioeconomic quartile has remained below 20 per cent since records began in the late 1980s and fell to 16 per cent in 2024 from 17.1 per cent in 2016 (Australian</w:t>
      </w:r>
      <w:r w:rsidR="005C3209">
        <w:t xml:space="preserve"> Government</w:t>
      </w:r>
      <w:r w:rsidRPr="00423E24">
        <w:t xml:space="preserve"> Department of Education, </w:t>
      </w:r>
      <w:r w:rsidR="009D02C2" w:rsidRPr="00423E24">
        <w:t>202</w:t>
      </w:r>
      <w:r w:rsidR="009D02C2">
        <w:t>6</w:t>
      </w:r>
      <w:r w:rsidRPr="00423E24">
        <w:t xml:space="preserve">). </w:t>
      </w:r>
    </w:p>
    <w:p w14:paraId="7919F841" w14:textId="436ECF0B" w:rsidR="003A7EA9" w:rsidRPr="00423E24" w:rsidRDefault="003A7EA9" w:rsidP="00C41578">
      <w:pPr>
        <w:pStyle w:val="JANZSSABodycopy"/>
      </w:pPr>
      <w:r w:rsidRPr="00423E24">
        <w:t xml:space="preserve">The </w:t>
      </w:r>
      <w:r w:rsidR="00E06358">
        <w:t xml:space="preserve">Australian </w:t>
      </w:r>
      <w:r w:rsidRPr="00423E24">
        <w:t>Universities Accord report acknow</w:t>
      </w:r>
      <w:r w:rsidRPr="005656BB">
        <w:t>ledge</w:t>
      </w:r>
      <w:r w:rsidR="005656BB">
        <w:t>s</w:t>
      </w:r>
      <w:r w:rsidRPr="005656BB">
        <w:t xml:space="preserve"> the importance of secondary schools but provide</w:t>
      </w:r>
      <w:r w:rsidR="005656BB">
        <w:t>s</w:t>
      </w:r>
      <w:r w:rsidRPr="00423E24">
        <w:t xml:space="preserve"> only brief reference to the challenge of streaming, whereby students are divided into primarily vocational or higher education pathways (</w:t>
      </w:r>
      <w:r w:rsidR="00993598" w:rsidRPr="00993598">
        <w:t xml:space="preserve">Australian Government </w:t>
      </w:r>
      <w:r w:rsidR="00E6109C" w:rsidRPr="00E6109C">
        <w:t>Department of Education</w:t>
      </w:r>
      <w:r w:rsidRPr="00423E24">
        <w:t>, 202</w:t>
      </w:r>
      <w:r w:rsidR="00E6109C">
        <w:t>4</w:t>
      </w:r>
      <w:r w:rsidRPr="00423E24">
        <w:t>, p.</w:t>
      </w:r>
      <w:r w:rsidR="00E06358">
        <w:t xml:space="preserve"> </w:t>
      </w:r>
      <w:r w:rsidRPr="00423E24">
        <w:t>95</w:t>
      </w:r>
      <w:r>
        <w:t>; Harvey et al., 2025</w:t>
      </w:r>
      <w:r w:rsidRPr="00423E24">
        <w:t xml:space="preserve">). </w:t>
      </w:r>
      <w:r>
        <w:t>T</w:t>
      </w:r>
      <w:r w:rsidRPr="00423E24">
        <w:t xml:space="preserve">he 2023 review of Australian schooling (referred to </w:t>
      </w:r>
      <w:r w:rsidRPr="00423E24">
        <w:lastRenderedPageBreak/>
        <w:t>as the Schooling Review) inc</w:t>
      </w:r>
      <w:r w:rsidRPr="00561480">
        <w:t>ludes only</w:t>
      </w:r>
      <w:r w:rsidRPr="00423E24">
        <w:t xml:space="preserve"> two brief references to the practice of streaming or tracking (Australian </w:t>
      </w:r>
      <w:r w:rsidR="005C3209">
        <w:t>Government</w:t>
      </w:r>
      <w:r w:rsidR="005C3209" w:rsidRPr="00423E24">
        <w:t xml:space="preserve"> </w:t>
      </w:r>
      <w:r w:rsidRPr="00423E24">
        <w:t>Department of Education, 2023, p</w:t>
      </w:r>
      <w:r w:rsidR="00E06358">
        <w:t>p</w:t>
      </w:r>
      <w:r w:rsidRPr="00423E24">
        <w:t>.</w:t>
      </w:r>
      <w:r w:rsidR="00E06358">
        <w:t xml:space="preserve"> </w:t>
      </w:r>
      <w:r w:rsidRPr="00423E24">
        <w:t>91</w:t>
      </w:r>
      <w:r w:rsidR="00E06358">
        <w:t>,</w:t>
      </w:r>
      <w:r w:rsidRPr="00423E24">
        <w:t xml:space="preserve"> 93), drawing only on a commissioned piece of research by consulta</w:t>
      </w:r>
      <w:r w:rsidRPr="00561480">
        <w:t xml:space="preserve">nts. Based on the consultants’ comparative international research, the Schooling Review argues that reducing the extent of streaming within schools would have only a </w:t>
      </w:r>
      <w:r w:rsidR="00A478A5" w:rsidRPr="00561480">
        <w:t>“</w:t>
      </w:r>
      <w:r w:rsidRPr="00561480">
        <w:t>mixed</w:t>
      </w:r>
      <w:r w:rsidR="00A478A5" w:rsidRPr="00561480">
        <w:t>”</w:t>
      </w:r>
      <w:r w:rsidRPr="00561480">
        <w:t xml:space="preserve"> impact on SES d</w:t>
      </w:r>
      <w:r w:rsidRPr="00423E24">
        <w:t xml:space="preserve">iversity, </w:t>
      </w:r>
      <w:r w:rsidR="00A478A5">
        <w:t>“</w:t>
      </w:r>
      <w:r w:rsidRPr="00423E24">
        <w:t>unclear</w:t>
      </w:r>
      <w:r w:rsidR="00A478A5">
        <w:t>”</w:t>
      </w:r>
      <w:r w:rsidRPr="00423E24">
        <w:t xml:space="preserve"> impact on educational outcomes, and </w:t>
      </w:r>
      <w:r w:rsidR="00A478A5">
        <w:t>“</w:t>
      </w:r>
      <w:r w:rsidRPr="00423E24">
        <w:t>low</w:t>
      </w:r>
      <w:r w:rsidR="00A478A5">
        <w:t>”</w:t>
      </w:r>
      <w:r w:rsidRPr="00423E24">
        <w:t xml:space="preserve"> transferability to Australia</w:t>
      </w:r>
      <w:r w:rsidR="00A478A5">
        <w:t xml:space="preserve"> (</w:t>
      </w:r>
      <w:r w:rsidR="00343E1D" w:rsidRPr="00343E1D">
        <w:t xml:space="preserve">Australian Government </w:t>
      </w:r>
      <w:r w:rsidR="00A478A5">
        <w:t>Department of Education, 2023, p. 83)</w:t>
      </w:r>
      <w:r w:rsidRPr="00423E24">
        <w:t>. More broadly, the consultants’ report clai</w:t>
      </w:r>
      <w:r w:rsidRPr="00966679">
        <w:t>ms</w:t>
      </w:r>
      <w:r w:rsidRPr="00423E24">
        <w:t xml:space="preserve"> that streaming is </w:t>
      </w:r>
      <w:r w:rsidR="00CA404F">
        <w:t>“</w:t>
      </w:r>
      <w:r w:rsidRPr="00423E24">
        <w:t>falling out of favour</w:t>
      </w:r>
      <w:r w:rsidR="00CA404F">
        <w:t>”</w:t>
      </w:r>
      <w:r w:rsidRPr="00423E24">
        <w:t xml:space="preserve"> in Australia and that Australia’s current policy focus on </w:t>
      </w:r>
      <w:r w:rsidR="00A478A5">
        <w:t>“</w:t>
      </w:r>
      <w:r w:rsidRPr="00423E24">
        <w:t>stronger parity between vocational and academic ‘leanings’ is driving systems away from anything that looks like a ‘two-tier’ system</w:t>
      </w:r>
      <w:r w:rsidR="008C5463">
        <w:t>”</w:t>
      </w:r>
      <w:r w:rsidRPr="00423E24">
        <w:t xml:space="preserve"> (Nous Group, 2023, p.</w:t>
      </w:r>
      <w:r w:rsidR="00A478A5">
        <w:t xml:space="preserve"> </w:t>
      </w:r>
      <w:r w:rsidRPr="00423E24">
        <w:t xml:space="preserve">24). </w:t>
      </w:r>
    </w:p>
    <w:p w14:paraId="7455D391" w14:textId="5DB80580" w:rsidR="003A7EA9" w:rsidRPr="00423E24" w:rsidRDefault="003A7EA9" w:rsidP="00C41578">
      <w:pPr>
        <w:pStyle w:val="JANZSSABodycopy"/>
      </w:pPr>
      <w:r w:rsidRPr="00423E24">
        <w:t>Confusion sometimes arises because the practice of streaming in Australian secondary schools takes several forms, including through enrolments into the academically selective schools that exist in some states, the International Baccalaureate, and the broader division between private and public schools. Streaming also occurs over time through ‘ability grouping’</w:t>
      </w:r>
      <w:r w:rsidR="00612AE7">
        <w:t>,</w:t>
      </w:r>
      <w:r w:rsidRPr="00423E24">
        <w:t xml:space="preserve"> where students are streamed into different classes and subjects based on their current achievement or performance. Research sugg</w:t>
      </w:r>
      <w:r w:rsidRPr="00561480">
        <w:t>ests subst</w:t>
      </w:r>
      <w:r w:rsidRPr="00423E24">
        <w:t xml:space="preserve">antial streaming practices operate in lower secondary school levels and some form of streaming is practised in approximately 86 per cent of Grade 10 (15–16-year-old) classes in secondary schools in Australia (Johnston &amp; Wildly, 2016). The disconnect between these data and the findings of the Schooling Review appears to arise from the </w:t>
      </w:r>
      <w:r w:rsidR="00E45B2A">
        <w:t>r</w:t>
      </w:r>
      <w:r w:rsidRPr="00E45B2A">
        <w:t>evi</w:t>
      </w:r>
      <w:r w:rsidRPr="00423E24">
        <w:t xml:space="preserve">ew’s focus on more formal practices of streaming, </w:t>
      </w:r>
      <w:r w:rsidR="00B97A81">
        <w:t>for example,</w:t>
      </w:r>
      <w:r w:rsidRPr="00423E24">
        <w:t xml:space="preserve"> academically selective secondary schools </w:t>
      </w:r>
      <w:r w:rsidR="00B97A81">
        <w:t>with examination-based admissions processes</w:t>
      </w:r>
      <w:r w:rsidRPr="00423E24">
        <w:t xml:space="preserve">. This focus appears to minimise the more opaque but widespread practices of streaming that affect postsecondary pathways.  </w:t>
      </w:r>
    </w:p>
    <w:p w14:paraId="1BA2488E" w14:textId="4F3F9C5D" w:rsidR="003A7EA9" w:rsidRPr="005656BB" w:rsidRDefault="003A7EA9" w:rsidP="00C41578">
      <w:pPr>
        <w:pStyle w:val="JANZSSABodycopy"/>
      </w:pPr>
      <w:r w:rsidRPr="00423E24">
        <w:t>The focus of our stu</w:t>
      </w:r>
      <w:r w:rsidRPr="005656BB">
        <w:t xml:space="preserve">dy is the streaming that typically happens </w:t>
      </w:r>
      <w:r w:rsidRPr="005656BB">
        <w:rPr>
          <w:i/>
        </w:rPr>
        <w:t>within</w:t>
      </w:r>
      <w:r w:rsidRPr="005656BB">
        <w:t xml:space="preserve"> schools, whereby students are divided into ‘vocational’ and ‘university’ pathways. In senior secondary school, the most common type of streaming involves eligibility to receive </w:t>
      </w:r>
      <w:r w:rsidR="005070CF" w:rsidRPr="005656BB">
        <w:t xml:space="preserve">an </w:t>
      </w:r>
      <w:r w:rsidRPr="005656BB">
        <w:t xml:space="preserve">Australian Tertiary Admission Rank (ATAR). The ATAR provides </w:t>
      </w:r>
      <w:r w:rsidR="00AB7462" w:rsidRPr="005656BB">
        <w:t xml:space="preserve">secondary school students with </w:t>
      </w:r>
      <w:r w:rsidRPr="005656BB">
        <w:t xml:space="preserve">a statewide rank on a scale of 0 to </w:t>
      </w:r>
      <w:r w:rsidR="00B46A40">
        <w:t xml:space="preserve">99.95 </w:t>
      </w:r>
      <w:r w:rsidRPr="005656BB">
        <w:t>and reflects their achievement aggregated across school subjects, with results contextualised for the perceived difficulty of subjects undertaken. ATAR streams serve as a proxy for higher education aspiration as universities typically select students based on their ranks (Joseph, 2023). Secondary students within non-ATAR streams, by contrast, usually pursu</w:t>
      </w:r>
      <w:r w:rsidR="00A626D2" w:rsidRPr="005656BB">
        <w:t>e</w:t>
      </w:r>
      <w:r w:rsidRPr="005656BB">
        <w:t xml:space="preserve"> vocational education and training (VET) courses, apprenticeships, or direct employment. The division between university and vocational pathways is not strictly ‘academic streaming’ in the sense of students being grouped based on their current achievement or performance. However, there is a clear correlation between academic achievement and pathway chosen, with results of national testing in English, mathematics, and other disciplines (</w:t>
      </w:r>
      <w:r w:rsidR="00A626D2" w:rsidRPr="005656BB">
        <w:t>National Assessment Program – Literacy and Numeracy [</w:t>
      </w:r>
      <w:r w:rsidRPr="005656BB">
        <w:t>NAPLAN</w:t>
      </w:r>
      <w:r w:rsidR="00A626D2" w:rsidRPr="005656BB">
        <w:t>]</w:t>
      </w:r>
      <w:r w:rsidRPr="005656BB">
        <w:t xml:space="preserve">) closely linked to ATAR attainment (Semo et al., 2024). </w:t>
      </w:r>
    </w:p>
    <w:p w14:paraId="3BC63233" w14:textId="24138784" w:rsidR="003A7EA9" w:rsidRPr="00423E24" w:rsidRDefault="003A7EA9" w:rsidP="00C41578">
      <w:pPr>
        <w:pStyle w:val="JANZSSABodycopy"/>
      </w:pPr>
      <w:r w:rsidRPr="005656BB">
        <w:t>Our central research questions examine the nature and extent of secondary school streaming across Australia, and its implications for higher education growth and equity. In this paper</w:t>
      </w:r>
      <w:r w:rsidR="00B53D40" w:rsidRPr="005656BB">
        <w:t>,</w:t>
      </w:r>
      <w:r w:rsidRPr="005656BB">
        <w:t xml:space="preserve"> we investigate the practice of streaming across several Australian state jurisdictions, drawing on both publicly available and customised data. </w:t>
      </w:r>
      <w:proofErr w:type="gramStart"/>
      <w:r w:rsidRPr="005656BB">
        <w:t>In particular, we</w:t>
      </w:r>
      <w:proofErr w:type="gramEnd"/>
      <w:r w:rsidRPr="005656BB">
        <w:t xml:space="preserve"> seek to uncover the proportion of students in each state who are studying in non-ATAR streams, the proportion of Indigenous students in each state who are studying in non-ATAR streams, and the postsecondary outcomes of students within both streams. Our equity focus is primarily on Indigenous students, the group most h</w:t>
      </w:r>
      <w:r w:rsidRPr="00423E24">
        <w:t xml:space="preserve">ighlighted in the </w:t>
      </w:r>
      <w:r w:rsidR="00B27DC3">
        <w:t xml:space="preserve">Australian </w:t>
      </w:r>
      <w:r w:rsidRPr="00423E24">
        <w:t>Universities Accord and the one for whom data were able to be sourced across multiple states. We also address the participation of low SES and regional, rural</w:t>
      </w:r>
      <w:r w:rsidR="00B27DC3">
        <w:t>,</w:t>
      </w:r>
      <w:r w:rsidRPr="00423E24">
        <w:t xml:space="preserve"> and remote (RRR) students, though more limited data are available for these groups. We found no data available for students with a disability, which is the fourth priority group of the Australian </w:t>
      </w:r>
      <w:r w:rsidR="004C3803">
        <w:t>G</w:t>
      </w:r>
      <w:r w:rsidRPr="00423E24">
        <w:t xml:space="preserve">overnment (Australian Centre for Student Equity and Success, 2024), nor for a range of other marginalised groups such as </w:t>
      </w:r>
      <w:r w:rsidRPr="00423E24">
        <w:lastRenderedPageBreak/>
        <w:t xml:space="preserve">care-experienced students, Māori and/or Pasifika students, and people from refugee backgrounds. We address the implications of this paucity of data in our discussion. </w:t>
      </w:r>
    </w:p>
    <w:p w14:paraId="3D80945C" w14:textId="77777777" w:rsidR="003A7EA9" w:rsidRPr="00423E24" w:rsidRDefault="003A7EA9" w:rsidP="00C41578">
      <w:pPr>
        <w:pStyle w:val="JANZSSAHeading1"/>
      </w:pPr>
      <w:r w:rsidRPr="00423E24">
        <w:t>Background</w:t>
      </w:r>
    </w:p>
    <w:p w14:paraId="08C8725B" w14:textId="7FCFE5DA" w:rsidR="003A7EA9" w:rsidRPr="00423E24" w:rsidRDefault="003A7EA9" w:rsidP="00C41578">
      <w:pPr>
        <w:pStyle w:val="JANZSSABodycopy"/>
      </w:pPr>
      <w:r w:rsidRPr="00423E24">
        <w:t>Australia operates a federal system of government with responsibilities divided between the Australian Government and a sub-national level, which includes six state and two territory governments</w:t>
      </w:r>
      <w:r>
        <w:t xml:space="preserve"> (Harvey et al., 2025</w:t>
      </w:r>
      <w:r w:rsidR="004C3803">
        <w:t>)</w:t>
      </w:r>
      <w:r w:rsidRPr="00423E24">
        <w:t xml:space="preserve">. While higher education is primarily funded and regulated by the Australian Government, primary and secondary school systems are largely funded and regulated at the state and territory level. Streaming in schools thus operates differently in each jurisdiction, and student data are kept at state and territory level through various curriculum and assessment authorities and tertiary admissions centres. Around 93 per cent of Australian higher education is delivered by universities and the </w:t>
      </w:r>
      <w:r w:rsidRPr="004C3803">
        <w:t>terms are often used interchangeably</w:t>
      </w:r>
      <w:r w:rsidRPr="00423E24">
        <w:t xml:space="preserve"> (Brett et al., 2019). </w:t>
      </w:r>
    </w:p>
    <w:p w14:paraId="0CD7B3E0" w14:textId="309F803C" w:rsidR="003A7EA9" w:rsidRPr="00423E24" w:rsidRDefault="003A7EA9" w:rsidP="00C41578">
      <w:pPr>
        <w:pStyle w:val="JANZSSABodycopy"/>
      </w:pPr>
      <w:r w:rsidRPr="00423E24">
        <w:t xml:space="preserve">Australian schools have a long history of dividing students into perceived ability-based classes, often </w:t>
      </w:r>
      <w:r w:rsidRPr="005C3CFC">
        <w:t>justified on the basis</w:t>
      </w:r>
      <w:r w:rsidR="00FB0FA8" w:rsidRPr="005C3CFC">
        <w:t xml:space="preserve"> that</w:t>
      </w:r>
      <w:r w:rsidRPr="005C3CFC">
        <w:t xml:space="preserve"> </w:t>
      </w:r>
      <w:r w:rsidR="00FB0FA8" w:rsidRPr="005C3CFC">
        <w:t xml:space="preserve">this </w:t>
      </w:r>
      <w:r w:rsidRPr="005C3CFC">
        <w:t>is supported by data and evidence-informed practices that provide benefits for high achievers</w:t>
      </w:r>
      <w:r w:rsidRPr="00423E24">
        <w:t xml:space="preserve"> (Luke et al., 2013; Macqueen, 2011; Spina, 2019). Since the 1980s, however, streaming into ‘academic’ and ‘vocational’ pathways has increased alongside school completion rates. The proportion of students completing the final year of schooling (Year 12) has doubled since the 1980s, requiring curricular and pedagogical adaptation to teach diverse cohorts who would previously have left school before completing Year 12 (Keating et al., 2012; Lamb et al., 2020; </w:t>
      </w:r>
      <w:proofErr w:type="spellStart"/>
      <w:r w:rsidRPr="00423E24">
        <w:t>Shergold</w:t>
      </w:r>
      <w:proofErr w:type="spellEnd"/>
      <w:r w:rsidRPr="00423E24">
        <w:t xml:space="preserve"> et al., 2020). Part of the adaptation has involved creating new vocationally oriented pathways within schools, along with pathways focussed on higher education</w:t>
      </w:r>
      <w:r w:rsidR="00FB0FA8">
        <w:t>. T</w:t>
      </w:r>
      <w:r w:rsidRPr="00423E24">
        <w:t xml:space="preserve">he </w:t>
      </w:r>
      <w:r w:rsidR="00FB0FA8" w:rsidRPr="00FB0FA8">
        <w:t xml:space="preserve">Organisation for Economic Co-operation and Development </w:t>
      </w:r>
      <w:r w:rsidR="00FB0FA8">
        <w:t>(</w:t>
      </w:r>
      <w:r w:rsidRPr="00423E24">
        <w:t>OECD</w:t>
      </w:r>
      <w:r w:rsidR="00FB0FA8" w:rsidRPr="00423E24">
        <w:t>, 2012)</w:t>
      </w:r>
      <w:r w:rsidRPr="00423E24">
        <w:t xml:space="preserve"> cla</w:t>
      </w:r>
      <w:r w:rsidRPr="00561480">
        <w:t>ims that 98</w:t>
      </w:r>
      <w:r w:rsidR="00C106B5" w:rsidRPr="00561480">
        <w:t xml:space="preserve"> per cent </w:t>
      </w:r>
      <w:r w:rsidRPr="00561480">
        <w:t>of secondary schools in Australia utilise some form of streaming.</w:t>
      </w:r>
      <w:r w:rsidRPr="00423E24">
        <w:t xml:space="preserve"> The type and amount of streaming is determined at a school level and there are virtually no specific national or statewide policies or data (Johnston &amp; Wildy, 2016; Spina, 2019). There are also no reported school-level data to understand these patterns. Year 12 completers typically receive a senior secondary school certificate, regardless of whether they have pursued a vocational or academic pathway.     </w:t>
      </w:r>
    </w:p>
    <w:p w14:paraId="4A1C4F4C" w14:textId="6272CF26" w:rsidR="003A7EA9" w:rsidRPr="00423E24" w:rsidRDefault="003A7EA9" w:rsidP="00C41578">
      <w:pPr>
        <w:pStyle w:val="JANZSSABodycopy"/>
      </w:pPr>
      <w:r w:rsidRPr="00423E24">
        <w:t>Australian higher education enrolments have expanded rapidly since the 1980s alongside increases in secondary school completion, yet this growth has not been matched by proportional increases in the participation of marginalised students (Australian Department of Education</w:t>
      </w:r>
      <w:r w:rsidR="005C3209" w:rsidRPr="005C3209">
        <w:t>, Employment and Workplace Relations</w:t>
      </w:r>
      <w:r w:rsidRPr="00423E24">
        <w:t xml:space="preserve">, 2008; </w:t>
      </w:r>
      <w:r w:rsidR="00E6109C" w:rsidRPr="00E6109C">
        <w:t>Department of Education</w:t>
      </w:r>
      <w:r w:rsidRPr="00423E24">
        <w:t>, 202</w:t>
      </w:r>
      <w:r w:rsidR="00E6109C">
        <w:t>4</w:t>
      </w:r>
      <w:r w:rsidRPr="00423E24">
        <w:t>; Lamb et al., 2020). In response to increasingly diverse cohorts, universities have introduced a range of alternative admission pathways beyond the ATAR, including school recommendation schemes, early offers, portfolios, auditions, and VET qualifications (</w:t>
      </w:r>
      <w:proofErr w:type="spellStart"/>
      <w:r w:rsidRPr="00423E24">
        <w:t>Shergold</w:t>
      </w:r>
      <w:proofErr w:type="spellEnd"/>
      <w:r w:rsidRPr="00423E24">
        <w:t xml:space="preserve"> et al., 2020). </w:t>
      </w:r>
      <w:r>
        <w:t>Despite</w:t>
      </w:r>
      <w:r w:rsidRPr="00423E24">
        <w:t xml:space="preserve"> these pathways</w:t>
      </w:r>
      <w:r>
        <w:t>, which</w:t>
      </w:r>
      <w:r w:rsidRPr="00423E24">
        <w:t xml:space="preserve"> have</w:t>
      </w:r>
      <w:r>
        <w:t xml:space="preserve"> themselves</w:t>
      </w:r>
      <w:r w:rsidRPr="00423E24">
        <w:t xml:space="preserve"> been scrutinised for their equity, validity, efficiency</w:t>
      </w:r>
      <w:r w:rsidR="007E2B0D">
        <w:t>,</w:t>
      </w:r>
      <w:r w:rsidRPr="00423E24">
        <w:t xml:space="preserve"> and transparency (Harvey, 2014; Lamb et al., 2020; Polesel et al., 2021), the ATAR remains the dominant admissions tool, particularly for highly selective programs and for students entering directly from school (O’Connell et al., 2022). Between 2018 and 2022, around 60 per cent of school leavers were admitted solely </w:t>
      </w:r>
      <w:proofErr w:type="gramStart"/>
      <w:r w:rsidRPr="00423E24">
        <w:t>on the basis of</w:t>
      </w:r>
      <w:proofErr w:type="gramEnd"/>
      <w:r w:rsidRPr="00423E24">
        <w:t xml:space="preserve"> their ATAR, with a further 14 per cent admitted using ATAR plus additional criteria (Joseph, 2023). The ATAR continues to hold significant symbolic and practical influence in schools and the media as an indicator of educational success (O’Connell et al., 2022). </w:t>
      </w:r>
    </w:p>
    <w:p w14:paraId="3B1AF5EB" w14:textId="6BA1B6D3" w:rsidR="003A7EA9" w:rsidRPr="00423E24" w:rsidRDefault="003A7EA9" w:rsidP="00C41578">
      <w:pPr>
        <w:pStyle w:val="JANZSSABodycopy"/>
      </w:pPr>
      <w:r w:rsidRPr="00423E24">
        <w:t>ATARs are commonly used as predictors of higher education success, with higher ATARs associated with increased completion rates and lower ATARs linked to higher attrition (</w:t>
      </w:r>
      <w:r w:rsidR="00520169" w:rsidRPr="00423E24">
        <w:t>Joseph, 2023</w:t>
      </w:r>
      <w:r w:rsidR="00520169">
        <w:t xml:space="preserve">; </w:t>
      </w:r>
      <w:r w:rsidRPr="00423E24">
        <w:t xml:space="preserve">Pilcher </w:t>
      </w:r>
      <w:r>
        <w:t>et al.</w:t>
      </w:r>
      <w:r w:rsidRPr="00423E24">
        <w:t>, 20</w:t>
      </w:r>
      <w:r>
        <w:t>25</w:t>
      </w:r>
      <w:r w:rsidRPr="00423E24">
        <w:t xml:space="preserve">). Despite these trends, universities have increasingly admitted students with relatively low ATARs, leading to rapid enrolment growth from 2010 onwards (Kemp &amp; Norton, 2014). The proportion of offers made to </w:t>
      </w:r>
      <w:r>
        <w:t>applica</w:t>
      </w:r>
      <w:r w:rsidRPr="00423E24">
        <w:t xml:space="preserve">nts with ATARs below 50 rose from 18 per cent in 2011 to 55 per cent in 2021, indicating that even low ranks now provide access to higher education (Joseph, 2023). Nationally, just over half of Year 12 students receive an ATAR, though </w:t>
      </w:r>
      <w:r w:rsidRPr="00423E24">
        <w:lastRenderedPageBreak/>
        <w:t>attainment rates vary substantially between jurisdictions, from around 30 per cent in Western Australia and Tasmania to approximately 60 per cent in New South Wales, South Australia</w:t>
      </w:r>
      <w:r w:rsidR="003431F1">
        <w:t>,</w:t>
      </w:r>
      <w:r w:rsidRPr="00423E24">
        <w:t xml:space="preserve"> and Victoria (Higher Education Standards Panel, 2023). Queensland, which adopted the ATAR in 2020, provides a unique opportunity to examine changes from the previous Overall Position model, which did not include externally moderated examinations. </w:t>
      </w:r>
    </w:p>
    <w:p w14:paraId="14591403" w14:textId="116E4169" w:rsidR="003A7EA9" w:rsidRPr="00423E24" w:rsidRDefault="003A7EA9" w:rsidP="00C41578">
      <w:pPr>
        <w:pStyle w:val="JANZSSABodycopy"/>
      </w:pPr>
      <w:r w:rsidRPr="00423E24">
        <w:t>Despite a paucity of publicly available data, existing evidence indicates that marginalised student groups are disproportionately represented in non-ATAR pathways (Australian Department of Education</w:t>
      </w:r>
      <w:r w:rsidR="005C3209" w:rsidRPr="00787DA2">
        <w:rPr>
          <w:kern w:val="2"/>
        </w:rPr>
        <w:t>, Employment and Workplace Relations</w:t>
      </w:r>
      <w:r w:rsidRPr="00423E24">
        <w:t xml:space="preserve">, 2011; Firth, 2020; </w:t>
      </w:r>
      <w:r w:rsidRPr="00123C3C">
        <w:t>Pilcher et al., 2025;</w:t>
      </w:r>
      <w:r>
        <w:t xml:space="preserve"> </w:t>
      </w:r>
      <w:r w:rsidRPr="00423E24">
        <w:t>Welner &amp; Oakes, 1996). This pattern is most visible where pathways are clearly demarcated, as was the case in Victoria until 2022, where the non-ATAR Victorian Certificate of Applied Learning (VCAL) operated alongside the ATAR-based Victorian Certificate of Education</w:t>
      </w:r>
      <w:r w:rsidR="00FB33EE">
        <w:t xml:space="preserve"> (VCE)</w:t>
      </w:r>
      <w:r w:rsidRPr="00423E24">
        <w:t xml:space="preserve">. Analysis of 2019 data in the </w:t>
      </w:r>
      <w:r w:rsidRPr="00D04DA4">
        <w:t>Firth Review</w:t>
      </w:r>
      <w:r w:rsidRPr="00423E24">
        <w:t xml:space="preserve"> reve</w:t>
      </w:r>
      <w:r w:rsidRPr="005656BB">
        <w:t>aled th</w:t>
      </w:r>
      <w:r w:rsidRPr="00423E24">
        <w:t>at 42 per cent of Indigenous senior secondary students were enrolled in VCAL, compared to just 14 per cent of non-Indigenous students (Firth, 2020</w:t>
      </w:r>
      <w:r>
        <w:t>; Harvey et al., 2025</w:t>
      </w:r>
      <w:r w:rsidRPr="00423E24">
        <w:t>). The review further found that regional and remote students, students with disability, and students from low SES backgrounds were also significantly over</w:t>
      </w:r>
      <w:r w:rsidR="0075121D">
        <w:t>-</w:t>
      </w:r>
      <w:r w:rsidRPr="00423E24">
        <w:t>represented in VCAL enrolments (Firth, 2020, p. 272). Following the Firth Review, the VCAL was phased out from 2023 and replaced by two non-ATAR pathways, the VCE Vocational Major and Victorian Pathways Certificate (VPC)</w:t>
      </w:r>
      <w:r w:rsidR="00FA63A3">
        <w:t>,</w:t>
      </w:r>
      <w:r w:rsidRPr="00423E24">
        <w:t xml:space="preserve"> to strengthen vocational and applied learning pathways (Dollinger et al., 2022; Firth, 2020; </w:t>
      </w:r>
      <w:r w:rsidR="00520169" w:rsidRPr="00423E24">
        <w:t>Strathdee, 2024</w:t>
      </w:r>
      <w:r w:rsidR="00520169">
        <w:t xml:space="preserve">; </w:t>
      </w:r>
      <w:r w:rsidRPr="00423E24">
        <w:t>Victoria</w:t>
      </w:r>
      <w:r>
        <w:t xml:space="preserve">n </w:t>
      </w:r>
      <w:r w:rsidR="00E53181">
        <w:t>Department of Education,</w:t>
      </w:r>
      <w:r w:rsidR="00FA63A3">
        <w:t xml:space="preserve"> </w:t>
      </w:r>
      <w:r w:rsidRPr="00423E24">
        <w:t>2026).</w:t>
      </w:r>
    </w:p>
    <w:p w14:paraId="38617030" w14:textId="77777777" w:rsidR="003A7EA9" w:rsidRPr="00423E24" w:rsidRDefault="003A7EA9" w:rsidP="00C41578">
      <w:pPr>
        <w:pStyle w:val="JANZSSABodycopy"/>
      </w:pPr>
      <w:r w:rsidRPr="00423E24">
        <w:t>There is an increasing drive to align the VET and higher education sectors (Glover, 2024; Knight &amp; Hodge, 2021) and to create a ‘parity of esteem’ between those two sectors. Despite the increasing language of alignment though, vocational and university pathways within secondary schools remain correlated with student SES and other geo-demographic characteristics. The aim of this study is to examine the scale and equity implications of senior secondary streaming across multiple Australian jurisdictions, with particular attention to its relationship to higher education access.</w:t>
      </w:r>
    </w:p>
    <w:p w14:paraId="0D19A4A7" w14:textId="77777777" w:rsidR="003A7EA9" w:rsidRPr="00423E24" w:rsidRDefault="003A7EA9" w:rsidP="00C41578">
      <w:pPr>
        <w:pStyle w:val="JANZSSAHeading1"/>
      </w:pPr>
      <w:r w:rsidRPr="00423E24">
        <w:t>Method</w:t>
      </w:r>
    </w:p>
    <w:p w14:paraId="2BCE4B86" w14:textId="77777777" w:rsidR="003A7EA9" w:rsidRPr="00423E24" w:rsidRDefault="003A7EA9" w:rsidP="00C41578">
      <w:pPr>
        <w:pStyle w:val="JANZSSABodycopy"/>
      </w:pPr>
      <w:r w:rsidRPr="00423E24">
        <w:t xml:space="preserve">Our research data were collected from a range of sources, including both publicly available data sets and requested custom </w:t>
      </w:r>
      <w:r>
        <w:t xml:space="preserve">government </w:t>
      </w:r>
      <w:r w:rsidRPr="00423E24">
        <w:t xml:space="preserve">data as outlined in Appendix B. There was no uniformity of publicly available data or of responses to requests for custom data across the states. The data collection process varied for each state depending on the availability of data. </w:t>
      </w:r>
    </w:p>
    <w:p w14:paraId="243417A4" w14:textId="0D09C067" w:rsidR="003A7EA9" w:rsidRPr="00423E24" w:rsidRDefault="003A7EA9" w:rsidP="00C41578">
      <w:pPr>
        <w:pStyle w:val="JANZSSABodycopy"/>
      </w:pPr>
      <w:r w:rsidRPr="00423E24">
        <w:t>Publicly available data on ATAR attainment for secondary students in 2022, including disaggregated data for Indigenous and non-Indigenous students, were accessed for Western Australia and Queensland. Publicly available data on postsecondary outcomes were also accessed for Queensland (Queensland Department of Education</w:t>
      </w:r>
      <w:r w:rsidRPr="00A6686E">
        <w:t>, 2023).</w:t>
      </w:r>
      <w:r w:rsidRPr="00423E24">
        <w:t xml:space="preserve"> Customised data for ATAR attainment for both Indigenous and non-Indigenous students were requested from Western Australia, New South Wales, Queensland</w:t>
      </w:r>
      <w:r w:rsidR="00D632E9">
        <w:t>,</w:t>
      </w:r>
      <w:r w:rsidRPr="00423E24">
        <w:t xml:space="preserve"> and Victoria, the four most populous states. Our analysis of specific ATAR equity data is confined to Indigenous peoples because of data limitations. The states and territories do not publish school data on the proportion of low SES or RRR students, nor</w:t>
      </w:r>
      <w:r w:rsidRPr="00423E24" w:rsidDel="004354F7">
        <w:t xml:space="preserve"> </w:t>
      </w:r>
      <w:r w:rsidR="0034775A">
        <w:t xml:space="preserve">on </w:t>
      </w:r>
      <w:r w:rsidRPr="00423E24">
        <w:t>those with a disability, who are enrolled within vocational or higher education streams or who receive an ATAR (</w:t>
      </w:r>
      <w:proofErr w:type="gramStart"/>
      <w:r w:rsidRPr="00423E24">
        <w:t>with the exception of</w:t>
      </w:r>
      <w:proofErr w:type="gramEnd"/>
      <w:r w:rsidRPr="00423E24">
        <w:t xml:space="preserve"> older VCAL data cited previously). As outlined below, some inferences can nevertheless be made about low SES and RRR student pathways from analysis of postsecondary survey data in Victoria and Queensland. In addition to the ATAR data sought, we analysed the results of two annual student surveys. In Queensland, Next Step is an annual, voluntary survey completed </w:t>
      </w:r>
      <w:r w:rsidRPr="0035017F">
        <w:t>6 months</w:t>
      </w:r>
      <w:r w:rsidRPr="00423E24">
        <w:t xml:space="preserve"> after finishing Year 12. Data </w:t>
      </w:r>
      <w:r w:rsidR="004354F7">
        <w:t xml:space="preserve">were </w:t>
      </w:r>
      <w:r w:rsidRPr="00423E24">
        <w:t>collected in 2022 for Year 12 students who completed their studies in 2021, and the survey response rate was 7</w:t>
      </w:r>
      <w:r w:rsidR="0062393A">
        <w:t>6.9</w:t>
      </w:r>
      <w:r w:rsidRPr="00423E24">
        <w:t xml:space="preserve"> per cent (Queensland Department of Education, 2023). In Victoria, the On Track annual survey follows the destination outcomes for Victorian Year 12 completers and is administered </w:t>
      </w:r>
      <w:r w:rsidR="0035017F">
        <w:t>6</w:t>
      </w:r>
      <w:r w:rsidR="0035017F" w:rsidRPr="0035017F">
        <w:t xml:space="preserve"> </w:t>
      </w:r>
      <w:r w:rsidRPr="0035017F">
        <w:t>months</w:t>
      </w:r>
      <w:r w:rsidRPr="00423E24">
        <w:t xml:space="preserve"> after leaving </w:t>
      </w:r>
      <w:r w:rsidRPr="00423E24">
        <w:lastRenderedPageBreak/>
        <w:t xml:space="preserve">school. We were able to disaggregate the Queensland survey results geographically, providing a picture of pathways participation and ATAR attainment within low SES and RRR areas. These results provide an indirect but helpful proxy for low SES and RRR student participation and attainment, notwithstanding the necessary caveats around survey participation rates and individual socioeconomic diversity within ‘low SES’ areas.  </w:t>
      </w:r>
    </w:p>
    <w:p w14:paraId="7D7BBEBF" w14:textId="77777777" w:rsidR="003A7EA9" w:rsidRPr="00423E24" w:rsidRDefault="003A7EA9" w:rsidP="00C41578">
      <w:pPr>
        <w:pStyle w:val="JANZSSAHeading1"/>
      </w:pPr>
      <w:r w:rsidRPr="00423E24">
        <w:t>Results</w:t>
      </w:r>
    </w:p>
    <w:p w14:paraId="0F51B33B" w14:textId="77777777" w:rsidR="003A7EA9" w:rsidRPr="00423E24" w:rsidRDefault="003A7EA9" w:rsidP="00C41578">
      <w:pPr>
        <w:pStyle w:val="JANZSSAHeading2"/>
      </w:pPr>
      <w:r w:rsidRPr="00423E24">
        <w:t xml:space="preserve">ATAR </w:t>
      </w:r>
      <w:r>
        <w:t>p</w:t>
      </w:r>
      <w:r w:rsidRPr="00423E24">
        <w:t xml:space="preserve">articipation </w:t>
      </w:r>
    </w:p>
    <w:p w14:paraId="4C558C11" w14:textId="4EECD31B" w:rsidR="003A7EA9" w:rsidRPr="00423E24" w:rsidRDefault="003A7EA9" w:rsidP="00C41578">
      <w:pPr>
        <w:pStyle w:val="JANZSSABodycopy"/>
        <w:spacing w:after="240"/>
      </w:pPr>
      <w:r w:rsidRPr="00423E24">
        <w:t>The available data from four states regarding ATAR rates for 2022 are shown in Figure 1. As the data highlight, in 2022</w:t>
      </w:r>
      <w:r w:rsidR="00616BF6">
        <w:t>,</w:t>
      </w:r>
      <w:r w:rsidRPr="00423E24">
        <w:t xml:space="preserve"> approximately half (53 per cent) of Queensland Year 12 students received an ATAR (Queensland Tertiary Admissions Centre, 202</w:t>
      </w:r>
      <w:r w:rsidR="00766B59">
        <w:t>3</w:t>
      </w:r>
      <w:r w:rsidRPr="00423E24">
        <w:t>)</w:t>
      </w:r>
      <w:r w:rsidR="00616BF6">
        <w:t>.</w:t>
      </w:r>
      <w:r w:rsidRPr="00423E24">
        <w:t xml:space="preserve"> Western Australia recorded the lowest ATAR participation rate overall at 31 per cent and had the lowest rates of Indigenous ATAR participation (6 per cent) in 2022 (Western Australian Department of Education, 2023a). The rates of ATAR participation for Indigenous students in Queensland </w:t>
      </w:r>
      <w:r w:rsidR="00871531">
        <w:t>are</w:t>
      </w:r>
      <w:r w:rsidRPr="00423E24">
        <w:t xml:space="preserve"> not publicly available and w</w:t>
      </w:r>
      <w:r w:rsidR="00871531">
        <w:t>ere</w:t>
      </w:r>
      <w:r w:rsidRPr="00423E24">
        <w:t xml:space="preserve"> not provided upon request</w:t>
      </w:r>
      <w:r w:rsidR="00817876">
        <w:t>,</w:t>
      </w:r>
      <w:r w:rsidRPr="00423E24">
        <w:t xml:space="preserve"> as reflected in Figure 1. New South Wales and Victoria recorded similar rates of ATAR attainment for both Indigenous and non-Indigenous students.</w:t>
      </w:r>
    </w:p>
    <w:p w14:paraId="08EB3368" w14:textId="77777777" w:rsidR="003A7EA9" w:rsidRPr="00E0484E" w:rsidRDefault="003A7EA9" w:rsidP="00C41578">
      <w:pPr>
        <w:pStyle w:val="JANZSSAFigureTableNumber"/>
      </w:pPr>
      <w:r w:rsidRPr="00E0484E">
        <w:t>Figure 1</w:t>
      </w:r>
    </w:p>
    <w:p w14:paraId="421FDE58" w14:textId="10584B98" w:rsidR="003A7EA9" w:rsidRPr="00E0484E" w:rsidRDefault="003A7EA9" w:rsidP="00C41578">
      <w:pPr>
        <w:pStyle w:val="JANZSSATableLabel"/>
      </w:pPr>
      <w:r w:rsidRPr="00E0484E">
        <w:t xml:space="preserve">Proportion of Year 12 Students in ATAR Streams in 2022 </w:t>
      </w:r>
    </w:p>
    <w:p w14:paraId="5BA1AD55" w14:textId="77777777" w:rsidR="003A7EA9" w:rsidRPr="00423E24" w:rsidRDefault="003A7EA9" w:rsidP="003A7EA9">
      <w:pPr>
        <w:rPr>
          <w:sz w:val="24"/>
          <w:szCs w:val="24"/>
        </w:rPr>
      </w:pPr>
      <w:r w:rsidRPr="00423E24">
        <w:rPr>
          <w:noProof/>
          <w:sz w:val="24"/>
          <w:szCs w:val="24"/>
        </w:rPr>
        <w:drawing>
          <wp:inline distT="0" distB="0" distL="0" distR="0" wp14:anchorId="2D1CC0B6" wp14:editId="25495450">
            <wp:extent cx="6042660" cy="3162446"/>
            <wp:effectExtent l="0" t="0" r="15240" b="0"/>
            <wp:docPr id="1841820854" name="Chart 1" descr="This figure shows the proportion of Australian year 12 students in an ATAR stream in 2022.">
              <a:extLst xmlns:a="http://schemas.openxmlformats.org/drawingml/2006/main">
                <a:ext uri="{FF2B5EF4-FFF2-40B4-BE49-F238E27FC236}">
                  <a16:creationId xmlns:a16="http://schemas.microsoft.com/office/drawing/2014/main" id="{28F380C1-11C4-B34C-8FEC-6D59F27DED37}"/>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F0C303" w14:textId="2EE3FA65" w:rsidR="003A7EA9" w:rsidRPr="0081269C" w:rsidRDefault="003A7EA9" w:rsidP="0081269C">
      <w:pPr>
        <w:pStyle w:val="JANZSSABodyCopy10pt"/>
      </w:pPr>
      <w:r w:rsidRPr="00850D55">
        <w:rPr>
          <w:i/>
        </w:rPr>
        <w:t>Note</w:t>
      </w:r>
      <w:r w:rsidR="00817876" w:rsidRPr="00850D55">
        <w:rPr>
          <w:i/>
          <w:iCs w:val="0"/>
        </w:rPr>
        <w:t>.</w:t>
      </w:r>
      <w:r w:rsidRPr="00C41578">
        <w:t xml:space="preserve"> Queensland, New South Wales</w:t>
      </w:r>
      <w:r w:rsidR="00817876">
        <w:t>,</w:t>
      </w:r>
      <w:r w:rsidRPr="00C41578">
        <w:t xml:space="preserve"> and Victorian data record ATAR attainment upon completion of Year 12. Western Australian data records ATAR participation in Year 12 as at census, </w:t>
      </w:r>
      <w:r w:rsidR="00817876">
        <w:t>S</w:t>
      </w:r>
      <w:r w:rsidRPr="00C41578">
        <w:t xml:space="preserve">emester 2. No data </w:t>
      </w:r>
      <w:r w:rsidR="00817876" w:rsidRPr="00C41578">
        <w:t>w</w:t>
      </w:r>
      <w:r w:rsidR="00817876">
        <w:t>ere</w:t>
      </w:r>
      <w:r w:rsidR="00817876" w:rsidRPr="00C41578">
        <w:t xml:space="preserve"> </w:t>
      </w:r>
      <w:r w:rsidRPr="00C41578">
        <w:t>provided for the ATAR rates of Indigenous students</w:t>
      </w:r>
      <w:r w:rsidR="003806AF">
        <w:t xml:space="preserve"> </w:t>
      </w:r>
      <w:r w:rsidR="003806AF" w:rsidRPr="003806AF">
        <w:t>in Queensland</w:t>
      </w:r>
      <w:r w:rsidRPr="00C41578">
        <w:t xml:space="preserve">. See Appendix A for data sources. </w:t>
      </w:r>
    </w:p>
    <w:p w14:paraId="20760BF4" w14:textId="3BC75C11" w:rsidR="003A7EA9" w:rsidRPr="00423E24" w:rsidRDefault="003A7EA9" w:rsidP="0081269C">
      <w:pPr>
        <w:pStyle w:val="JANZSSABodycopy"/>
        <w:spacing w:before="240" w:after="240"/>
        <w:rPr>
          <w:b/>
        </w:rPr>
      </w:pPr>
      <w:r w:rsidRPr="00423E24">
        <w:t xml:space="preserve">Gaps in ATAR attainment are broader than gaps in attainment of the senior secondary school certificate, though </w:t>
      </w:r>
      <w:r w:rsidR="00817876">
        <w:t xml:space="preserve">they are </w:t>
      </w:r>
      <w:r w:rsidRPr="00423E24">
        <w:t>clearly related. As shown in Table 1, in New South Wales</w:t>
      </w:r>
      <w:r w:rsidR="00817876">
        <w:t>,</w:t>
      </w:r>
      <w:r w:rsidRPr="00423E24">
        <w:t xml:space="preserve"> only half of the Indigenous students who completed the senior secondary certificate (Higher School Certificate </w:t>
      </w:r>
      <w:r w:rsidR="00817876">
        <w:t>[</w:t>
      </w:r>
      <w:r w:rsidRPr="00423E24">
        <w:t>HSC</w:t>
      </w:r>
      <w:r w:rsidR="00817876">
        <w:t>]</w:t>
      </w:r>
      <w:r w:rsidRPr="00423E24">
        <w:t xml:space="preserve">) attained an ATAR in 2022. Conversely, </w:t>
      </w:r>
      <w:proofErr w:type="gramStart"/>
      <w:r w:rsidRPr="00423E24">
        <w:t>the majority of</w:t>
      </w:r>
      <w:proofErr w:type="gramEnd"/>
      <w:r w:rsidRPr="00423E24">
        <w:t xml:space="preserve"> non-Indigenous students who completed the HSC attained an ATAR (Universities Admission</w:t>
      </w:r>
      <w:r w:rsidR="007F2E31">
        <w:t>s</w:t>
      </w:r>
      <w:r w:rsidRPr="00423E24">
        <w:t xml:space="preserve"> Centre, 2022).</w:t>
      </w:r>
    </w:p>
    <w:p w14:paraId="6BB55C84" w14:textId="77777777" w:rsidR="003A7EA9" w:rsidRPr="00E0484E" w:rsidRDefault="003A7EA9" w:rsidP="00C41578">
      <w:pPr>
        <w:pStyle w:val="JANZSSAFigureTableNumber"/>
      </w:pPr>
      <w:r w:rsidRPr="00E0484E">
        <w:lastRenderedPageBreak/>
        <w:t>Table 1</w:t>
      </w:r>
    </w:p>
    <w:p w14:paraId="00284925" w14:textId="248ABA07" w:rsidR="00C41578" w:rsidRPr="00E0484E" w:rsidRDefault="003A7EA9" w:rsidP="00C41578">
      <w:pPr>
        <w:pStyle w:val="JANZSSATableLabel"/>
      </w:pPr>
      <w:r w:rsidRPr="00E0484E">
        <w:t>Proportion of New South Wales Year 12 Students Attaining an ATAR</w:t>
      </w:r>
    </w:p>
    <w:tbl>
      <w:tblPr>
        <w:tblStyle w:val="TableGrid"/>
        <w:tblpPr w:leftFromText="180" w:rightFromText="180" w:vertAnchor="text" w:horzAnchor="margin" w:tblpX="18" w:tblpY="-36"/>
        <w:tblW w:w="5049" w:type="pct"/>
        <w:tblLook w:val="04A0" w:firstRow="1" w:lastRow="0" w:firstColumn="1" w:lastColumn="0" w:noHBand="0" w:noVBand="1"/>
      </w:tblPr>
      <w:tblGrid>
        <w:gridCol w:w="1889"/>
        <w:gridCol w:w="1303"/>
        <w:gridCol w:w="1305"/>
        <w:gridCol w:w="1303"/>
        <w:gridCol w:w="1305"/>
        <w:gridCol w:w="1303"/>
        <w:gridCol w:w="1303"/>
      </w:tblGrid>
      <w:tr w:rsidR="003A7EA9" w:rsidRPr="00C7420D" w14:paraId="40C0420E" w14:textId="77777777" w:rsidTr="0016087B">
        <w:tc>
          <w:tcPr>
            <w:tcW w:w="972" w:type="pct"/>
            <w:tcBorders>
              <w:top w:val="single" w:sz="4" w:space="0" w:color="auto"/>
              <w:bottom w:val="single" w:sz="4" w:space="0" w:color="auto"/>
            </w:tcBorders>
          </w:tcPr>
          <w:p w14:paraId="6A539E70" w14:textId="77777777" w:rsidR="003A7EA9" w:rsidRPr="00C7420D" w:rsidRDefault="003A7EA9" w:rsidP="00C41578">
            <w:pPr>
              <w:jc w:val="center"/>
              <w:rPr>
                <w:b/>
                <w:szCs w:val="20"/>
              </w:rPr>
            </w:pPr>
            <w:r w:rsidRPr="00C7420D">
              <w:rPr>
                <w:b/>
                <w:szCs w:val="20"/>
              </w:rPr>
              <w:t>ATAR</w:t>
            </w:r>
          </w:p>
        </w:tc>
        <w:tc>
          <w:tcPr>
            <w:tcW w:w="1343" w:type="pct"/>
            <w:gridSpan w:val="2"/>
            <w:tcBorders>
              <w:top w:val="single" w:sz="4" w:space="0" w:color="auto"/>
              <w:bottom w:val="single" w:sz="4" w:space="0" w:color="auto"/>
            </w:tcBorders>
            <w:shd w:val="clear" w:color="auto" w:fill="FFFFFF" w:themeFill="background1"/>
          </w:tcPr>
          <w:p w14:paraId="24F20FCC" w14:textId="77777777" w:rsidR="003A7EA9" w:rsidRPr="00C7420D" w:rsidRDefault="003A7EA9" w:rsidP="00C41578">
            <w:pPr>
              <w:jc w:val="center"/>
              <w:rPr>
                <w:b/>
                <w:szCs w:val="20"/>
              </w:rPr>
            </w:pPr>
            <w:r w:rsidRPr="00C7420D">
              <w:rPr>
                <w:b/>
                <w:szCs w:val="20"/>
              </w:rPr>
              <w:t>2020</w:t>
            </w:r>
          </w:p>
        </w:tc>
        <w:tc>
          <w:tcPr>
            <w:tcW w:w="1343" w:type="pct"/>
            <w:gridSpan w:val="2"/>
            <w:tcBorders>
              <w:top w:val="single" w:sz="4" w:space="0" w:color="auto"/>
              <w:bottom w:val="single" w:sz="4" w:space="0" w:color="auto"/>
            </w:tcBorders>
            <w:shd w:val="clear" w:color="auto" w:fill="FFFFFF" w:themeFill="background1"/>
          </w:tcPr>
          <w:p w14:paraId="7554C82B" w14:textId="77777777" w:rsidR="003A7EA9" w:rsidRPr="00C7420D" w:rsidRDefault="003A7EA9" w:rsidP="00C41578">
            <w:pPr>
              <w:jc w:val="center"/>
              <w:rPr>
                <w:b/>
                <w:szCs w:val="20"/>
              </w:rPr>
            </w:pPr>
            <w:r w:rsidRPr="00C7420D">
              <w:rPr>
                <w:b/>
                <w:szCs w:val="20"/>
              </w:rPr>
              <w:t>2021</w:t>
            </w:r>
          </w:p>
        </w:tc>
        <w:tc>
          <w:tcPr>
            <w:tcW w:w="1343" w:type="pct"/>
            <w:gridSpan w:val="2"/>
            <w:tcBorders>
              <w:top w:val="single" w:sz="4" w:space="0" w:color="auto"/>
              <w:bottom w:val="single" w:sz="4" w:space="0" w:color="auto"/>
            </w:tcBorders>
            <w:shd w:val="clear" w:color="auto" w:fill="FFFFFF" w:themeFill="background1"/>
          </w:tcPr>
          <w:p w14:paraId="50900943" w14:textId="77777777" w:rsidR="003A7EA9" w:rsidRPr="00C7420D" w:rsidRDefault="003A7EA9" w:rsidP="00C41578">
            <w:pPr>
              <w:jc w:val="center"/>
              <w:rPr>
                <w:b/>
                <w:szCs w:val="20"/>
              </w:rPr>
            </w:pPr>
            <w:r w:rsidRPr="00C7420D">
              <w:rPr>
                <w:b/>
                <w:szCs w:val="20"/>
              </w:rPr>
              <w:t>2022</w:t>
            </w:r>
          </w:p>
        </w:tc>
      </w:tr>
      <w:tr w:rsidR="003A7EA9" w:rsidRPr="00C7420D" w14:paraId="21AB32E3" w14:textId="77777777" w:rsidTr="0016087B">
        <w:tc>
          <w:tcPr>
            <w:tcW w:w="972" w:type="pct"/>
            <w:tcBorders>
              <w:top w:val="single" w:sz="4" w:space="0" w:color="auto"/>
              <w:bottom w:val="single" w:sz="4" w:space="0" w:color="auto"/>
            </w:tcBorders>
            <w:shd w:val="clear" w:color="auto" w:fill="FFFFFF" w:themeFill="background1"/>
          </w:tcPr>
          <w:p w14:paraId="2AB2F073" w14:textId="77777777" w:rsidR="003A7EA9" w:rsidRPr="005C3CFC" w:rsidRDefault="003A7EA9" w:rsidP="00C41578">
            <w:pPr>
              <w:jc w:val="center"/>
              <w:rPr>
                <w:szCs w:val="20"/>
              </w:rPr>
            </w:pPr>
            <w:r w:rsidRPr="005C3CFC">
              <w:rPr>
                <w:szCs w:val="20"/>
              </w:rPr>
              <w:t>Indigeneity</w:t>
            </w:r>
          </w:p>
        </w:tc>
        <w:tc>
          <w:tcPr>
            <w:tcW w:w="671" w:type="pct"/>
            <w:tcBorders>
              <w:top w:val="single" w:sz="4" w:space="0" w:color="auto"/>
              <w:bottom w:val="single" w:sz="4" w:space="0" w:color="auto"/>
            </w:tcBorders>
          </w:tcPr>
          <w:p w14:paraId="2DBF2BB1" w14:textId="77777777" w:rsidR="003A7EA9" w:rsidRPr="005C3CFC" w:rsidRDefault="003A7EA9" w:rsidP="00C41578">
            <w:pPr>
              <w:jc w:val="center"/>
              <w:rPr>
                <w:szCs w:val="20"/>
              </w:rPr>
            </w:pPr>
            <w:r w:rsidRPr="005C3CFC">
              <w:rPr>
                <w:szCs w:val="20"/>
              </w:rPr>
              <w:t>Indigenous</w:t>
            </w:r>
          </w:p>
        </w:tc>
        <w:tc>
          <w:tcPr>
            <w:tcW w:w="671" w:type="pct"/>
            <w:tcBorders>
              <w:top w:val="single" w:sz="4" w:space="0" w:color="auto"/>
              <w:bottom w:val="single" w:sz="4" w:space="0" w:color="auto"/>
            </w:tcBorders>
          </w:tcPr>
          <w:p w14:paraId="19FBFCD2" w14:textId="77777777" w:rsidR="003A7EA9" w:rsidRPr="005C3CFC" w:rsidRDefault="003A7EA9" w:rsidP="00C41578">
            <w:pPr>
              <w:jc w:val="center"/>
              <w:rPr>
                <w:szCs w:val="20"/>
              </w:rPr>
            </w:pPr>
            <w:r w:rsidRPr="005C3CFC">
              <w:rPr>
                <w:szCs w:val="20"/>
              </w:rPr>
              <w:t>Non- Indigenous</w:t>
            </w:r>
          </w:p>
        </w:tc>
        <w:tc>
          <w:tcPr>
            <w:tcW w:w="671" w:type="pct"/>
            <w:tcBorders>
              <w:top w:val="single" w:sz="4" w:space="0" w:color="auto"/>
              <w:bottom w:val="single" w:sz="4" w:space="0" w:color="auto"/>
            </w:tcBorders>
          </w:tcPr>
          <w:p w14:paraId="731EBDC2" w14:textId="77777777" w:rsidR="003A7EA9" w:rsidRPr="005C3CFC" w:rsidRDefault="003A7EA9" w:rsidP="00C41578">
            <w:pPr>
              <w:jc w:val="center"/>
              <w:rPr>
                <w:szCs w:val="20"/>
              </w:rPr>
            </w:pPr>
            <w:r w:rsidRPr="005C3CFC">
              <w:rPr>
                <w:szCs w:val="20"/>
              </w:rPr>
              <w:t>Indigenous</w:t>
            </w:r>
          </w:p>
        </w:tc>
        <w:tc>
          <w:tcPr>
            <w:tcW w:w="671" w:type="pct"/>
            <w:tcBorders>
              <w:top w:val="single" w:sz="4" w:space="0" w:color="auto"/>
              <w:bottom w:val="single" w:sz="4" w:space="0" w:color="auto"/>
            </w:tcBorders>
          </w:tcPr>
          <w:p w14:paraId="7D62A187" w14:textId="77777777" w:rsidR="003A7EA9" w:rsidRPr="005C3CFC" w:rsidRDefault="003A7EA9" w:rsidP="00C41578">
            <w:pPr>
              <w:jc w:val="center"/>
              <w:rPr>
                <w:szCs w:val="20"/>
              </w:rPr>
            </w:pPr>
            <w:r w:rsidRPr="005C3CFC">
              <w:rPr>
                <w:szCs w:val="20"/>
              </w:rPr>
              <w:t>Non- Indigenous</w:t>
            </w:r>
          </w:p>
        </w:tc>
        <w:tc>
          <w:tcPr>
            <w:tcW w:w="671" w:type="pct"/>
            <w:tcBorders>
              <w:top w:val="single" w:sz="4" w:space="0" w:color="auto"/>
              <w:bottom w:val="single" w:sz="4" w:space="0" w:color="auto"/>
            </w:tcBorders>
          </w:tcPr>
          <w:p w14:paraId="4BDBA12B" w14:textId="77777777" w:rsidR="003A7EA9" w:rsidRPr="005C3CFC" w:rsidRDefault="003A7EA9" w:rsidP="00C41578">
            <w:pPr>
              <w:jc w:val="center"/>
              <w:rPr>
                <w:szCs w:val="20"/>
              </w:rPr>
            </w:pPr>
            <w:r w:rsidRPr="005C3CFC">
              <w:rPr>
                <w:szCs w:val="20"/>
              </w:rPr>
              <w:t>Indigenous</w:t>
            </w:r>
          </w:p>
        </w:tc>
        <w:tc>
          <w:tcPr>
            <w:tcW w:w="671" w:type="pct"/>
            <w:tcBorders>
              <w:top w:val="single" w:sz="4" w:space="0" w:color="auto"/>
              <w:bottom w:val="single" w:sz="4" w:space="0" w:color="auto"/>
            </w:tcBorders>
          </w:tcPr>
          <w:p w14:paraId="43C2C277" w14:textId="77777777" w:rsidR="003A7EA9" w:rsidRPr="005C3CFC" w:rsidRDefault="003A7EA9" w:rsidP="00C41578">
            <w:pPr>
              <w:jc w:val="center"/>
              <w:rPr>
                <w:szCs w:val="20"/>
              </w:rPr>
            </w:pPr>
            <w:r w:rsidRPr="005C3CFC">
              <w:rPr>
                <w:szCs w:val="20"/>
              </w:rPr>
              <w:t>Non- Indigenous</w:t>
            </w:r>
          </w:p>
        </w:tc>
      </w:tr>
      <w:tr w:rsidR="003A7EA9" w:rsidRPr="00C7420D" w14:paraId="72226042" w14:textId="77777777" w:rsidTr="0016087B">
        <w:trPr>
          <w:trHeight w:val="481"/>
        </w:trPr>
        <w:tc>
          <w:tcPr>
            <w:tcW w:w="972" w:type="pct"/>
            <w:tcBorders>
              <w:top w:val="single" w:sz="4" w:space="0" w:color="auto"/>
            </w:tcBorders>
            <w:shd w:val="clear" w:color="auto" w:fill="FFFFFF" w:themeFill="background1"/>
          </w:tcPr>
          <w:p w14:paraId="3FCBF845" w14:textId="77777777" w:rsidR="003A7EA9" w:rsidRPr="00C7420D" w:rsidRDefault="003A7EA9" w:rsidP="00C41578">
            <w:pPr>
              <w:rPr>
                <w:szCs w:val="20"/>
              </w:rPr>
            </w:pPr>
            <w:r w:rsidRPr="00C7420D">
              <w:rPr>
                <w:szCs w:val="20"/>
              </w:rPr>
              <w:t xml:space="preserve">Total Year 12 students </w:t>
            </w:r>
          </w:p>
        </w:tc>
        <w:tc>
          <w:tcPr>
            <w:tcW w:w="671" w:type="pct"/>
            <w:tcBorders>
              <w:top w:val="single" w:sz="4" w:space="0" w:color="auto"/>
            </w:tcBorders>
          </w:tcPr>
          <w:p w14:paraId="0F0045B0" w14:textId="77777777" w:rsidR="003A7EA9" w:rsidRPr="00C7420D" w:rsidRDefault="003A7EA9" w:rsidP="00C41578">
            <w:pPr>
              <w:jc w:val="center"/>
              <w:rPr>
                <w:szCs w:val="20"/>
              </w:rPr>
            </w:pPr>
            <w:r w:rsidRPr="00C7420D">
              <w:rPr>
                <w:szCs w:val="20"/>
              </w:rPr>
              <w:t>2,653</w:t>
            </w:r>
          </w:p>
        </w:tc>
        <w:tc>
          <w:tcPr>
            <w:tcW w:w="671" w:type="pct"/>
            <w:tcBorders>
              <w:top w:val="single" w:sz="4" w:space="0" w:color="auto"/>
            </w:tcBorders>
          </w:tcPr>
          <w:p w14:paraId="187E2384" w14:textId="77777777" w:rsidR="003A7EA9" w:rsidRPr="00C7420D" w:rsidRDefault="003A7EA9" w:rsidP="00C41578">
            <w:pPr>
              <w:jc w:val="center"/>
              <w:rPr>
                <w:szCs w:val="20"/>
              </w:rPr>
            </w:pPr>
            <w:r w:rsidRPr="00C7420D">
              <w:rPr>
                <w:szCs w:val="20"/>
              </w:rPr>
              <w:t>72,387</w:t>
            </w:r>
          </w:p>
        </w:tc>
        <w:tc>
          <w:tcPr>
            <w:tcW w:w="671" w:type="pct"/>
            <w:tcBorders>
              <w:top w:val="single" w:sz="4" w:space="0" w:color="auto"/>
            </w:tcBorders>
          </w:tcPr>
          <w:p w14:paraId="3A2549BB" w14:textId="77777777" w:rsidR="003A7EA9" w:rsidRPr="00C7420D" w:rsidRDefault="003A7EA9" w:rsidP="00C41578">
            <w:pPr>
              <w:jc w:val="center"/>
              <w:rPr>
                <w:szCs w:val="20"/>
              </w:rPr>
            </w:pPr>
            <w:r w:rsidRPr="00C7420D">
              <w:rPr>
                <w:szCs w:val="20"/>
              </w:rPr>
              <w:t>2,117</w:t>
            </w:r>
          </w:p>
        </w:tc>
        <w:tc>
          <w:tcPr>
            <w:tcW w:w="671" w:type="pct"/>
            <w:tcBorders>
              <w:top w:val="single" w:sz="4" w:space="0" w:color="auto"/>
            </w:tcBorders>
          </w:tcPr>
          <w:p w14:paraId="438A6F6A" w14:textId="77777777" w:rsidR="003A7EA9" w:rsidRPr="00C7420D" w:rsidRDefault="003A7EA9" w:rsidP="00C41578">
            <w:pPr>
              <w:jc w:val="center"/>
              <w:rPr>
                <w:szCs w:val="20"/>
              </w:rPr>
            </w:pPr>
            <w:r w:rsidRPr="00C7420D">
              <w:rPr>
                <w:szCs w:val="20"/>
              </w:rPr>
              <w:t>73,069</w:t>
            </w:r>
          </w:p>
        </w:tc>
        <w:tc>
          <w:tcPr>
            <w:tcW w:w="671" w:type="pct"/>
            <w:tcBorders>
              <w:top w:val="single" w:sz="4" w:space="0" w:color="auto"/>
            </w:tcBorders>
          </w:tcPr>
          <w:p w14:paraId="30E0FF3D" w14:textId="77777777" w:rsidR="003A7EA9" w:rsidRPr="00C7420D" w:rsidRDefault="003A7EA9" w:rsidP="00C41578">
            <w:pPr>
              <w:jc w:val="center"/>
              <w:rPr>
                <w:szCs w:val="20"/>
              </w:rPr>
            </w:pPr>
            <w:r w:rsidRPr="00C7420D">
              <w:rPr>
                <w:szCs w:val="20"/>
              </w:rPr>
              <w:t>2,089</w:t>
            </w:r>
          </w:p>
        </w:tc>
        <w:tc>
          <w:tcPr>
            <w:tcW w:w="671" w:type="pct"/>
            <w:tcBorders>
              <w:top w:val="single" w:sz="4" w:space="0" w:color="auto"/>
            </w:tcBorders>
          </w:tcPr>
          <w:p w14:paraId="42AC96CF" w14:textId="77777777" w:rsidR="003A7EA9" w:rsidRPr="00C7420D" w:rsidRDefault="003A7EA9" w:rsidP="00C41578">
            <w:pPr>
              <w:jc w:val="center"/>
              <w:rPr>
                <w:szCs w:val="20"/>
              </w:rPr>
            </w:pPr>
            <w:r w:rsidRPr="00C7420D">
              <w:rPr>
                <w:szCs w:val="20"/>
              </w:rPr>
              <w:t>72,211</w:t>
            </w:r>
          </w:p>
        </w:tc>
      </w:tr>
      <w:tr w:rsidR="003A7EA9" w:rsidRPr="00C7420D" w14:paraId="6BE98026" w14:textId="77777777" w:rsidTr="0016087B">
        <w:tc>
          <w:tcPr>
            <w:tcW w:w="972" w:type="pct"/>
            <w:shd w:val="clear" w:color="auto" w:fill="FFFFFF" w:themeFill="background1"/>
          </w:tcPr>
          <w:p w14:paraId="2BD3B4BF" w14:textId="77777777" w:rsidR="003A7EA9" w:rsidRPr="00C7420D" w:rsidRDefault="003A7EA9" w:rsidP="00C41578">
            <w:pPr>
              <w:rPr>
                <w:szCs w:val="20"/>
              </w:rPr>
            </w:pPr>
            <w:r w:rsidRPr="00C7420D">
              <w:rPr>
                <w:szCs w:val="20"/>
              </w:rPr>
              <w:t>ATAR attainment</w:t>
            </w:r>
          </w:p>
        </w:tc>
        <w:tc>
          <w:tcPr>
            <w:tcW w:w="671" w:type="pct"/>
          </w:tcPr>
          <w:p w14:paraId="73C9C519" w14:textId="77777777" w:rsidR="003A7EA9" w:rsidRPr="00C7420D" w:rsidRDefault="003A7EA9" w:rsidP="00C41578">
            <w:pPr>
              <w:jc w:val="center"/>
              <w:rPr>
                <w:szCs w:val="20"/>
              </w:rPr>
            </w:pPr>
            <w:r w:rsidRPr="00C7420D">
              <w:rPr>
                <w:szCs w:val="20"/>
              </w:rPr>
              <w:t>42.8%</w:t>
            </w:r>
          </w:p>
          <w:p w14:paraId="1E9B3563" w14:textId="77777777" w:rsidR="003A7EA9" w:rsidRPr="00C7420D" w:rsidRDefault="003A7EA9" w:rsidP="00C41578">
            <w:pPr>
              <w:jc w:val="center"/>
              <w:rPr>
                <w:szCs w:val="20"/>
              </w:rPr>
            </w:pPr>
          </w:p>
        </w:tc>
        <w:tc>
          <w:tcPr>
            <w:tcW w:w="671" w:type="pct"/>
          </w:tcPr>
          <w:p w14:paraId="435BE09F" w14:textId="77777777" w:rsidR="003A7EA9" w:rsidRPr="00C7420D" w:rsidRDefault="003A7EA9" w:rsidP="00C41578">
            <w:pPr>
              <w:jc w:val="center"/>
              <w:rPr>
                <w:szCs w:val="20"/>
              </w:rPr>
            </w:pPr>
            <w:r w:rsidRPr="00C7420D">
              <w:rPr>
                <w:szCs w:val="20"/>
              </w:rPr>
              <w:t>74.2%</w:t>
            </w:r>
          </w:p>
          <w:p w14:paraId="36C4FC71" w14:textId="77777777" w:rsidR="003A7EA9" w:rsidRPr="00C7420D" w:rsidRDefault="003A7EA9" w:rsidP="00C41578">
            <w:pPr>
              <w:jc w:val="center"/>
              <w:rPr>
                <w:szCs w:val="20"/>
              </w:rPr>
            </w:pPr>
          </w:p>
        </w:tc>
        <w:tc>
          <w:tcPr>
            <w:tcW w:w="671" w:type="pct"/>
          </w:tcPr>
          <w:p w14:paraId="3E155C3C" w14:textId="77777777" w:rsidR="003A7EA9" w:rsidRPr="00C7420D" w:rsidRDefault="003A7EA9" w:rsidP="00C41578">
            <w:pPr>
              <w:jc w:val="center"/>
              <w:rPr>
                <w:szCs w:val="20"/>
              </w:rPr>
            </w:pPr>
            <w:r w:rsidRPr="00C7420D">
              <w:rPr>
                <w:szCs w:val="20"/>
              </w:rPr>
              <w:t>42%</w:t>
            </w:r>
          </w:p>
          <w:p w14:paraId="548033D3" w14:textId="77777777" w:rsidR="003A7EA9" w:rsidRPr="00C7420D" w:rsidRDefault="003A7EA9" w:rsidP="00C41578">
            <w:pPr>
              <w:jc w:val="center"/>
              <w:rPr>
                <w:szCs w:val="20"/>
              </w:rPr>
            </w:pPr>
          </w:p>
        </w:tc>
        <w:tc>
          <w:tcPr>
            <w:tcW w:w="671" w:type="pct"/>
          </w:tcPr>
          <w:p w14:paraId="5551112C" w14:textId="77777777" w:rsidR="003A7EA9" w:rsidRPr="00C7420D" w:rsidRDefault="003A7EA9" w:rsidP="00C41578">
            <w:pPr>
              <w:jc w:val="center"/>
              <w:rPr>
                <w:szCs w:val="20"/>
              </w:rPr>
            </w:pPr>
            <w:r w:rsidRPr="00C7420D">
              <w:rPr>
                <w:szCs w:val="20"/>
              </w:rPr>
              <w:t>73.8%</w:t>
            </w:r>
          </w:p>
          <w:p w14:paraId="220CB7ED" w14:textId="77777777" w:rsidR="003A7EA9" w:rsidRPr="00C7420D" w:rsidRDefault="003A7EA9" w:rsidP="00C41578">
            <w:pPr>
              <w:jc w:val="center"/>
              <w:rPr>
                <w:szCs w:val="20"/>
              </w:rPr>
            </w:pPr>
          </w:p>
        </w:tc>
        <w:tc>
          <w:tcPr>
            <w:tcW w:w="671" w:type="pct"/>
          </w:tcPr>
          <w:p w14:paraId="5CF8CB00" w14:textId="77777777" w:rsidR="003A7EA9" w:rsidRPr="00C7420D" w:rsidRDefault="003A7EA9" w:rsidP="00C41578">
            <w:pPr>
              <w:jc w:val="center"/>
              <w:rPr>
                <w:szCs w:val="20"/>
              </w:rPr>
            </w:pPr>
            <w:r w:rsidRPr="00C7420D">
              <w:rPr>
                <w:szCs w:val="20"/>
              </w:rPr>
              <w:t>40.3%</w:t>
            </w:r>
          </w:p>
          <w:p w14:paraId="4F9098EA" w14:textId="77777777" w:rsidR="003A7EA9" w:rsidRPr="00C7420D" w:rsidRDefault="003A7EA9" w:rsidP="00C41578">
            <w:pPr>
              <w:jc w:val="center"/>
              <w:rPr>
                <w:szCs w:val="20"/>
              </w:rPr>
            </w:pPr>
          </w:p>
        </w:tc>
        <w:tc>
          <w:tcPr>
            <w:tcW w:w="671" w:type="pct"/>
          </w:tcPr>
          <w:p w14:paraId="794721A5" w14:textId="77777777" w:rsidR="003A7EA9" w:rsidRPr="00C7420D" w:rsidRDefault="003A7EA9" w:rsidP="00C41578">
            <w:pPr>
              <w:jc w:val="center"/>
              <w:rPr>
                <w:szCs w:val="20"/>
              </w:rPr>
            </w:pPr>
            <w:r w:rsidRPr="00C7420D">
              <w:rPr>
                <w:szCs w:val="20"/>
              </w:rPr>
              <w:t>74%</w:t>
            </w:r>
          </w:p>
          <w:p w14:paraId="38E2B293" w14:textId="77777777" w:rsidR="003A7EA9" w:rsidRPr="00C7420D" w:rsidRDefault="003A7EA9" w:rsidP="00C41578">
            <w:pPr>
              <w:jc w:val="center"/>
              <w:rPr>
                <w:szCs w:val="20"/>
              </w:rPr>
            </w:pPr>
          </w:p>
        </w:tc>
      </w:tr>
      <w:tr w:rsidR="003A7EA9" w:rsidRPr="00C7420D" w14:paraId="09F908FB" w14:textId="77777777" w:rsidTr="0016087B">
        <w:trPr>
          <w:trHeight w:val="481"/>
        </w:trPr>
        <w:tc>
          <w:tcPr>
            <w:tcW w:w="972" w:type="pct"/>
            <w:tcBorders>
              <w:bottom w:val="single" w:sz="4" w:space="0" w:color="auto"/>
            </w:tcBorders>
            <w:shd w:val="clear" w:color="auto" w:fill="FFFFFF" w:themeFill="background1"/>
          </w:tcPr>
          <w:p w14:paraId="77E62E55" w14:textId="77777777" w:rsidR="003A7EA9" w:rsidRPr="00C7420D" w:rsidRDefault="003A7EA9" w:rsidP="00C41578">
            <w:pPr>
              <w:rPr>
                <w:szCs w:val="20"/>
              </w:rPr>
            </w:pPr>
            <w:r w:rsidRPr="00C7420D">
              <w:rPr>
                <w:szCs w:val="20"/>
              </w:rPr>
              <w:t>HSC completion</w:t>
            </w:r>
          </w:p>
        </w:tc>
        <w:tc>
          <w:tcPr>
            <w:tcW w:w="671" w:type="pct"/>
            <w:tcBorders>
              <w:bottom w:val="single" w:sz="4" w:space="0" w:color="auto"/>
            </w:tcBorders>
          </w:tcPr>
          <w:p w14:paraId="548C6EE2" w14:textId="77777777" w:rsidR="003A7EA9" w:rsidRPr="00C7420D" w:rsidRDefault="003A7EA9" w:rsidP="00C41578">
            <w:pPr>
              <w:jc w:val="center"/>
              <w:rPr>
                <w:szCs w:val="20"/>
              </w:rPr>
            </w:pPr>
            <w:r w:rsidRPr="00C7420D">
              <w:rPr>
                <w:szCs w:val="20"/>
              </w:rPr>
              <w:t>85.4%</w:t>
            </w:r>
          </w:p>
        </w:tc>
        <w:tc>
          <w:tcPr>
            <w:tcW w:w="671" w:type="pct"/>
            <w:tcBorders>
              <w:bottom w:val="single" w:sz="4" w:space="0" w:color="auto"/>
            </w:tcBorders>
          </w:tcPr>
          <w:p w14:paraId="2A86C59F" w14:textId="77777777" w:rsidR="003A7EA9" w:rsidRPr="00C7420D" w:rsidRDefault="003A7EA9" w:rsidP="00C41578">
            <w:pPr>
              <w:jc w:val="center"/>
              <w:rPr>
                <w:szCs w:val="20"/>
              </w:rPr>
            </w:pPr>
            <w:r w:rsidRPr="00C7420D">
              <w:rPr>
                <w:szCs w:val="20"/>
              </w:rPr>
              <w:t>88.9%</w:t>
            </w:r>
          </w:p>
          <w:p w14:paraId="0F581F5C" w14:textId="77777777" w:rsidR="003A7EA9" w:rsidRPr="00C7420D" w:rsidRDefault="003A7EA9" w:rsidP="00C41578">
            <w:pPr>
              <w:jc w:val="center"/>
              <w:rPr>
                <w:szCs w:val="20"/>
              </w:rPr>
            </w:pPr>
          </w:p>
        </w:tc>
        <w:tc>
          <w:tcPr>
            <w:tcW w:w="671" w:type="pct"/>
            <w:tcBorders>
              <w:bottom w:val="single" w:sz="4" w:space="0" w:color="auto"/>
            </w:tcBorders>
          </w:tcPr>
          <w:p w14:paraId="42B7C18C" w14:textId="77777777" w:rsidR="003A7EA9" w:rsidRPr="00C7420D" w:rsidRDefault="003A7EA9" w:rsidP="00C41578">
            <w:pPr>
              <w:jc w:val="center"/>
              <w:rPr>
                <w:szCs w:val="20"/>
              </w:rPr>
            </w:pPr>
            <w:r w:rsidRPr="00C7420D">
              <w:rPr>
                <w:szCs w:val="20"/>
              </w:rPr>
              <w:t>83.2%</w:t>
            </w:r>
          </w:p>
        </w:tc>
        <w:tc>
          <w:tcPr>
            <w:tcW w:w="671" w:type="pct"/>
            <w:tcBorders>
              <w:bottom w:val="single" w:sz="4" w:space="0" w:color="auto"/>
            </w:tcBorders>
          </w:tcPr>
          <w:p w14:paraId="1E88E962" w14:textId="77777777" w:rsidR="003A7EA9" w:rsidRPr="00C7420D" w:rsidRDefault="003A7EA9" w:rsidP="00C41578">
            <w:pPr>
              <w:jc w:val="center"/>
              <w:rPr>
                <w:szCs w:val="20"/>
              </w:rPr>
            </w:pPr>
            <w:r w:rsidRPr="00C7420D">
              <w:rPr>
                <w:szCs w:val="20"/>
              </w:rPr>
              <w:t>88.8%</w:t>
            </w:r>
          </w:p>
          <w:p w14:paraId="056E200F" w14:textId="77777777" w:rsidR="003A7EA9" w:rsidRPr="00C7420D" w:rsidRDefault="003A7EA9" w:rsidP="00C41578">
            <w:pPr>
              <w:jc w:val="center"/>
              <w:rPr>
                <w:szCs w:val="20"/>
              </w:rPr>
            </w:pPr>
          </w:p>
        </w:tc>
        <w:tc>
          <w:tcPr>
            <w:tcW w:w="671" w:type="pct"/>
            <w:tcBorders>
              <w:bottom w:val="single" w:sz="4" w:space="0" w:color="auto"/>
            </w:tcBorders>
          </w:tcPr>
          <w:p w14:paraId="6CD08F8D" w14:textId="77777777" w:rsidR="003A7EA9" w:rsidRPr="00C7420D" w:rsidRDefault="003A7EA9" w:rsidP="00C41578">
            <w:pPr>
              <w:jc w:val="center"/>
              <w:rPr>
                <w:szCs w:val="20"/>
              </w:rPr>
            </w:pPr>
            <w:r w:rsidRPr="00C7420D">
              <w:rPr>
                <w:szCs w:val="20"/>
              </w:rPr>
              <w:t>80.2%</w:t>
            </w:r>
          </w:p>
          <w:p w14:paraId="18200598" w14:textId="77777777" w:rsidR="003A7EA9" w:rsidRPr="00C7420D" w:rsidRDefault="003A7EA9" w:rsidP="00C41578">
            <w:pPr>
              <w:jc w:val="center"/>
              <w:rPr>
                <w:szCs w:val="20"/>
              </w:rPr>
            </w:pPr>
          </w:p>
        </w:tc>
        <w:tc>
          <w:tcPr>
            <w:tcW w:w="671" w:type="pct"/>
            <w:tcBorders>
              <w:bottom w:val="single" w:sz="4" w:space="0" w:color="auto"/>
            </w:tcBorders>
          </w:tcPr>
          <w:p w14:paraId="1F8344F4" w14:textId="77777777" w:rsidR="003A7EA9" w:rsidRPr="00C7420D" w:rsidRDefault="003A7EA9" w:rsidP="00C41578">
            <w:pPr>
              <w:jc w:val="center"/>
              <w:rPr>
                <w:szCs w:val="20"/>
              </w:rPr>
            </w:pPr>
            <w:r w:rsidRPr="00C7420D">
              <w:rPr>
                <w:szCs w:val="20"/>
              </w:rPr>
              <w:t>88%</w:t>
            </w:r>
          </w:p>
        </w:tc>
      </w:tr>
    </w:tbl>
    <w:p w14:paraId="31DA2B79" w14:textId="6B173923" w:rsidR="003A7EA9" w:rsidRPr="00C902D4" w:rsidRDefault="003A7EA9" w:rsidP="00C41578">
      <w:pPr>
        <w:pStyle w:val="JANZSSABodyCopy10pt"/>
      </w:pPr>
      <w:r w:rsidRPr="00C902D4">
        <w:t>(Universities Admission</w:t>
      </w:r>
      <w:r w:rsidR="007F2E31">
        <w:t>s</w:t>
      </w:r>
      <w:r w:rsidRPr="00C902D4">
        <w:t xml:space="preserve"> Centre, 2022) </w:t>
      </w:r>
    </w:p>
    <w:p w14:paraId="19C293D5" w14:textId="47B5F7FF" w:rsidR="003A7EA9" w:rsidRPr="00423E24" w:rsidRDefault="003A7EA9" w:rsidP="00431F6F">
      <w:pPr>
        <w:pStyle w:val="JANZSSABodycopy"/>
        <w:spacing w:before="240" w:after="240"/>
        <w:rPr>
          <w:rFonts w:eastAsia="Times New Roman"/>
          <w:snapToGrid w:val="0"/>
          <w:color w:val="000000"/>
          <w:w w:val="0"/>
          <w:u w:color="000000"/>
          <w:bdr w:val="none" w:sz="0" w:space="0" w:color="000000"/>
          <w:shd w:val="clear" w:color="000000" w:fill="000000"/>
          <w:lang w:val="x-none" w:eastAsia="x-none" w:bidi="x-none"/>
        </w:rPr>
      </w:pPr>
      <w:r w:rsidRPr="00423E24">
        <w:t xml:space="preserve">Table 2 shows data from Western Australia. Unlike in New South Wales, </w:t>
      </w:r>
      <w:proofErr w:type="gramStart"/>
      <w:r w:rsidRPr="00423E24">
        <w:t>the majority of</w:t>
      </w:r>
      <w:proofErr w:type="gramEnd"/>
      <w:r w:rsidRPr="00423E24">
        <w:t xml:space="preserve"> Indigenous Year 12 students in Western Australia do not attain the senior secondary certificate (Western Australian Certificate of Education </w:t>
      </w:r>
      <w:r w:rsidR="0081269C">
        <w:t>[</w:t>
      </w:r>
      <w:r w:rsidRPr="00423E24">
        <w:t>WACE</w:t>
      </w:r>
      <w:r w:rsidR="0081269C">
        <w:t>]</w:t>
      </w:r>
      <w:r w:rsidRPr="00423E24">
        <w:t xml:space="preserve">), and only </w:t>
      </w:r>
      <w:r>
        <w:t>5.8</w:t>
      </w:r>
      <w:r w:rsidRPr="00423E24">
        <w:t xml:space="preserve"> per cent of Indigenous Year 12 students were in the ATAR stream in 2022. Non-Indigenous ATAR</w:t>
      </w:r>
      <w:r w:rsidRPr="00423E24">
        <w:rPr>
          <w:lang w:bidi="x-none"/>
        </w:rPr>
        <w:t xml:space="preserve"> </w:t>
      </w:r>
      <w:r w:rsidRPr="00423E24">
        <w:t>participation is also relatively low (30 per cent in 2022), though most non-Indigenous students do attain their senior secondary certificate. Tables 2 and 3 also highlight the changes in ATAR participation in New South Wales and Western Australia over time, from 2020 to 2022. Data indicate that ATAR attainment and participation in these states dropped each year for Indigenous students (Universit</w:t>
      </w:r>
      <w:r w:rsidR="007F2E31">
        <w:t>ies</w:t>
      </w:r>
      <w:r w:rsidRPr="00423E24">
        <w:t xml:space="preserve"> Admission</w:t>
      </w:r>
      <w:r w:rsidR="007F2E31">
        <w:t>s</w:t>
      </w:r>
      <w:r w:rsidRPr="00423E24">
        <w:t xml:space="preserve"> Centre, 2022; Western Australian Department of Education, 2023a). </w:t>
      </w:r>
    </w:p>
    <w:p w14:paraId="58AE01CF" w14:textId="77777777" w:rsidR="003A7EA9" w:rsidRDefault="003A7EA9" w:rsidP="00C41578">
      <w:pPr>
        <w:pStyle w:val="JANZSSAFigureTableNumber"/>
      </w:pPr>
      <w:r w:rsidRPr="00E0484E">
        <w:t xml:space="preserve">Table 2 </w:t>
      </w:r>
    </w:p>
    <w:p w14:paraId="26883B37" w14:textId="2A8707BE" w:rsidR="003A7EA9" w:rsidRPr="00E0484E" w:rsidRDefault="00C41578" w:rsidP="00C41578">
      <w:pPr>
        <w:pStyle w:val="JANZSSATableLabel"/>
        <w:rPr>
          <w:i w:val="0"/>
        </w:rPr>
      </w:pPr>
      <w:r w:rsidRPr="00E0484E">
        <w:t>Proportion of Western Australian Year 12 Students in ATAR Streams</w:t>
      </w:r>
    </w:p>
    <w:tbl>
      <w:tblPr>
        <w:tblStyle w:val="TableGrid"/>
        <w:tblpPr w:leftFromText="180" w:rightFromText="180" w:vertAnchor="text" w:horzAnchor="margin" w:tblpY="-6"/>
        <w:tblW w:w="9715" w:type="dxa"/>
        <w:tblLook w:val="04A0" w:firstRow="1" w:lastRow="0" w:firstColumn="1" w:lastColumn="0" w:noHBand="0" w:noVBand="1"/>
      </w:tblPr>
      <w:tblGrid>
        <w:gridCol w:w="1885"/>
        <w:gridCol w:w="1305"/>
        <w:gridCol w:w="1305"/>
        <w:gridCol w:w="1305"/>
        <w:gridCol w:w="1305"/>
        <w:gridCol w:w="1305"/>
        <w:gridCol w:w="1305"/>
      </w:tblGrid>
      <w:tr w:rsidR="003A7EA9" w:rsidRPr="00280ECF" w14:paraId="51FCE229" w14:textId="77777777" w:rsidTr="0016087B">
        <w:tc>
          <w:tcPr>
            <w:tcW w:w="1885" w:type="dxa"/>
          </w:tcPr>
          <w:p w14:paraId="53547EBA" w14:textId="77777777" w:rsidR="003A7EA9" w:rsidRPr="00280ECF" w:rsidRDefault="003A7EA9" w:rsidP="0016087B">
            <w:pPr>
              <w:jc w:val="center"/>
              <w:rPr>
                <w:b/>
                <w:szCs w:val="20"/>
              </w:rPr>
            </w:pPr>
            <w:r w:rsidRPr="00280ECF">
              <w:rPr>
                <w:b/>
                <w:szCs w:val="20"/>
              </w:rPr>
              <w:t>ATAR</w:t>
            </w:r>
          </w:p>
        </w:tc>
        <w:tc>
          <w:tcPr>
            <w:tcW w:w="2610" w:type="dxa"/>
            <w:gridSpan w:val="2"/>
          </w:tcPr>
          <w:p w14:paraId="6B8E85ED" w14:textId="77777777" w:rsidR="003A7EA9" w:rsidRPr="00280ECF" w:rsidRDefault="003A7EA9" w:rsidP="0016087B">
            <w:pPr>
              <w:jc w:val="center"/>
              <w:rPr>
                <w:b/>
                <w:szCs w:val="20"/>
              </w:rPr>
            </w:pPr>
            <w:r w:rsidRPr="00280ECF">
              <w:rPr>
                <w:b/>
                <w:szCs w:val="20"/>
              </w:rPr>
              <w:t>2020</w:t>
            </w:r>
          </w:p>
        </w:tc>
        <w:tc>
          <w:tcPr>
            <w:tcW w:w="2610" w:type="dxa"/>
            <w:gridSpan w:val="2"/>
          </w:tcPr>
          <w:p w14:paraId="55B4C590" w14:textId="77777777" w:rsidR="003A7EA9" w:rsidRPr="00280ECF" w:rsidRDefault="003A7EA9" w:rsidP="0016087B">
            <w:pPr>
              <w:jc w:val="center"/>
              <w:rPr>
                <w:b/>
                <w:szCs w:val="20"/>
              </w:rPr>
            </w:pPr>
            <w:r w:rsidRPr="00280ECF">
              <w:rPr>
                <w:b/>
                <w:szCs w:val="20"/>
              </w:rPr>
              <w:t>2021</w:t>
            </w:r>
          </w:p>
        </w:tc>
        <w:tc>
          <w:tcPr>
            <w:tcW w:w="2610" w:type="dxa"/>
            <w:gridSpan w:val="2"/>
          </w:tcPr>
          <w:p w14:paraId="130C17E2" w14:textId="77777777" w:rsidR="003A7EA9" w:rsidRPr="00280ECF" w:rsidRDefault="003A7EA9" w:rsidP="0016087B">
            <w:pPr>
              <w:jc w:val="center"/>
              <w:rPr>
                <w:b/>
                <w:szCs w:val="20"/>
              </w:rPr>
            </w:pPr>
            <w:r w:rsidRPr="00280ECF">
              <w:rPr>
                <w:b/>
                <w:szCs w:val="20"/>
              </w:rPr>
              <w:t>2022</w:t>
            </w:r>
          </w:p>
        </w:tc>
      </w:tr>
      <w:tr w:rsidR="003A7EA9" w:rsidRPr="00280ECF" w14:paraId="4AB8B870" w14:textId="77777777" w:rsidTr="0016087B">
        <w:tc>
          <w:tcPr>
            <w:tcW w:w="1885" w:type="dxa"/>
          </w:tcPr>
          <w:p w14:paraId="6D7D2D69" w14:textId="77777777" w:rsidR="003A7EA9" w:rsidRPr="00280ECF" w:rsidRDefault="003A7EA9" w:rsidP="0016087B">
            <w:pPr>
              <w:jc w:val="center"/>
              <w:rPr>
                <w:szCs w:val="20"/>
              </w:rPr>
            </w:pPr>
            <w:r w:rsidRPr="00280ECF">
              <w:rPr>
                <w:szCs w:val="20"/>
              </w:rPr>
              <w:t>Indigeneity</w:t>
            </w:r>
          </w:p>
        </w:tc>
        <w:tc>
          <w:tcPr>
            <w:tcW w:w="1305" w:type="dxa"/>
          </w:tcPr>
          <w:p w14:paraId="76441246" w14:textId="77777777" w:rsidR="003A7EA9" w:rsidRPr="00280ECF" w:rsidRDefault="003A7EA9" w:rsidP="0016087B">
            <w:pPr>
              <w:jc w:val="center"/>
              <w:rPr>
                <w:szCs w:val="20"/>
              </w:rPr>
            </w:pPr>
            <w:r w:rsidRPr="00280ECF">
              <w:rPr>
                <w:szCs w:val="20"/>
              </w:rPr>
              <w:t>Indigenous</w:t>
            </w:r>
          </w:p>
        </w:tc>
        <w:tc>
          <w:tcPr>
            <w:tcW w:w="1305" w:type="dxa"/>
          </w:tcPr>
          <w:p w14:paraId="2C7DEE75" w14:textId="77777777" w:rsidR="003A7EA9" w:rsidRPr="00280ECF" w:rsidRDefault="003A7EA9" w:rsidP="0016087B">
            <w:pPr>
              <w:jc w:val="center"/>
              <w:rPr>
                <w:szCs w:val="20"/>
              </w:rPr>
            </w:pPr>
            <w:r w:rsidRPr="00280ECF">
              <w:rPr>
                <w:szCs w:val="20"/>
              </w:rPr>
              <w:t>Non- Indigenous</w:t>
            </w:r>
          </w:p>
        </w:tc>
        <w:tc>
          <w:tcPr>
            <w:tcW w:w="1305" w:type="dxa"/>
          </w:tcPr>
          <w:p w14:paraId="7631CF0D" w14:textId="77777777" w:rsidR="003A7EA9" w:rsidRPr="00280ECF" w:rsidRDefault="003A7EA9" w:rsidP="0016087B">
            <w:pPr>
              <w:jc w:val="center"/>
              <w:rPr>
                <w:szCs w:val="20"/>
              </w:rPr>
            </w:pPr>
            <w:r w:rsidRPr="00280ECF">
              <w:rPr>
                <w:szCs w:val="20"/>
              </w:rPr>
              <w:t>Indigenous</w:t>
            </w:r>
          </w:p>
        </w:tc>
        <w:tc>
          <w:tcPr>
            <w:tcW w:w="1305" w:type="dxa"/>
          </w:tcPr>
          <w:p w14:paraId="6FE109AD" w14:textId="77777777" w:rsidR="003A7EA9" w:rsidRPr="00280ECF" w:rsidRDefault="003A7EA9" w:rsidP="0016087B">
            <w:pPr>
              <w:jc w:val="center"/>
              <w:rPr>
                <w:szCs w:val="20"/>
              </w:rPr>
            </w:pPr>
            <w:r w:rsidRPr="00280ECF">
              <w:rPr>
                <w:szCs w:val="20"/>
              </w:rPr>
              <w:t>Non-Indigenous</w:t>
            </w:r>
          </w:p>
        </w:tc>
        <w:tc>
          <w:tcPr>
            <w:tcW w:w="1305" w:type="dxa"/>
          </w:tcPr>
          <w:p w14:paraId="273D17AD" w14:textId="77777777" w:rsidR="003A7EA9" w:rsidRPr="00280ECF" w:rsidRDefault="003A7EA9" w:rsidP="0016087B">
            <w:pPr>
              <w:jc w:val="center"/>
              <w:rPr>
                <w:szCs w:val="20"/>
              </w:rPr>
            </w:pPr>
            <w:r w:rsidRPr="00280ECF">
              <w:rPr>
                <w:szCs w:val="20"/>
              </w:rPr>
              <w:t>Indigenous</w:t>
            </w:r>
          </w:p>
        </w:tc>
        <w:tc>
          <w:tcPr>
            <w:tcW w:w="1305" w:type="dxa"/>
          </w:tcPr>
          <w:p w14:paraId="6DC21BFD" w14:textId="77777777" w:rsidR="003A7EA9" w:rsidRPr="00280ECF" w:rsidRDefault="003A7EA9" w:rsidP="0016087B">
            <w:pPr>
              <w:jc w:val="center"/>
              <w:rPr>
                <w:szCs w:val="20"/>
              </w:rPr>
            </w:pPr>
            <w:r w:rsidRPr="00280ECF">
              <w:rPr>
                <w:szCs w:val="20"/>
              </w:rPr>
              <w:t>Non-Indigenous</w:t>
            </w:r>
          </w:p>
        </w:tc>
      </w:tr>
      <w:tr w:rsidR="003A7EA9" w:rsidRPr="00280ECF" w14:paraId="653F4DA1" w14:textId="77777777" w:rsidTr="0016087B">
        <w:trPr>
          <w:trHeight w:val="276"/>
        </w:trPr>
        <w:tc>
          <w:tcPr>
            <w:tcW w:w="1885" w:type="dxa"/>
          </w:tcPr>
          <w:p w14:paraId="2B888086" w14:textId="77777777" w:rsidR="003A7EA9" w:rsidRPr="00280ECF" w:rsidRDefault="003A7EA9" w:rsidP="0016087B">
            <w:pPr>
              <w:rPr>
                <w:szCs w:val="20"/>
              </w:rPr>
            </w:pPr>
            <w:r w:rsidRPr="00280ECF">
              <w:rPr>
                <w:szCs w:val="20"/>
              </w:rPr>
              <w:t xml:space="preserve">Total Year 12 Students </w:t>
            </w:r>
          </w:p>
        </w:tc>
        <w:tc>
          <w:tcPr>
            <w:tcW w:w="1305" w:type="dxa"/>
          </w:tcPr>
          <w:p w14:paraId="2EB7545F" w14:textId="77777777" w:rsidR="003A7EA9" w:rsidRPr="00280ECF" w:rsidRDefault="003A7EA9" w:rsidP="0016087B">
            <w:pPr>
              <w:jc w:val="center"/>
              <w:rPr>
                <w:color w:val="000000"/>
                <w:szCs w:val="20"/>
              </w:rPr>
            </w:pPr>
            <w:r w:rsidRPr="00280ECF">
              <w:rPr>
                <w:color w:val="000000"/>
                <w:szCs w:val="20"/>
              </w:rPr>
              <w:t>787</w:t>
            </w:r>
          </w:p>
        </w:tc>
        <w:tc>
          <w:tcPr>
            <w:tcW w:w="1305" w:type="dxa"/>
          </w:tcPr>
          <w:p w14:paraId="4A2C831F" w14:textId="77777777" w:rsidR="003A7EA9" w:rsidRPr="00280ECF" w:rsidRDefault="003A7EA9" w:rsidP="0016087B">
            <w:pPr>
              <w:jc w:val="center"/>
              <w:rPr>
                <w:color w:val="000000"/>
                <w:szCs w:val="20"/>
              </w:rPr>
            </w:pPr>
            <w:r w:rsidRPr="00280ECF">
              <w:rPr>
                <w:color w:val="000000"/>
                <w:szCs w:val="20"/>
              </w:rPr>
              <w:t>13,790</w:t>
            </w:r>
          </w:p>
          <w:p w14:paraId="28AF2876" w14:textId="77777777" w:rsidR="003A7EA9" w:rsidRPr="00280ECF" w:rsidRDefault="003A7EA9" w:rsidP="0016087B">
            <w:pPr>
              <w:jc w:val="center"/>
              <w:rPr>
                <w:szCs w:val="20"/>
              </w:rPr>
            </w:pPr>
          </w:p>
        </w:tc>
        <w:tc>
          <w:tcPr>
            <w:tcW w:w="1305" w:type="dxa"/>
          </w:tcPr>
          <w:p w14:paraId="62AFF56E" w14:textId="77777777" w:rsidR="003A7EA9" w:rsidRPr="00280ECF" w:rsidRDefault="003A7EA9" w:rsidP="0016087B">
            <w:pPr>
              <w:jc w:val="center"/>
              <w:rPr>
                <w:color w:val="000000"/>
                <w:szCs w:val="20"/>
              </w:rPr>
            </w:pPr>
            <w:r w:rsidRPr="00280ECF">
              <w:rPr>
                <w:color w:val="000000"/>
                <w:szCs w:val="20"/>
              </w:rPr>
              <w:t>752</w:t>
            </w:r>
          </w:p>
          <w:p w14:paraId="13677081" w14:textId="77777777" w:rsidR="003A7EA9" w:rsidRPr="00280ECF" w:rsidRDefault="003A7EA9" w:rsidP="0016087B">
            <w:pPr>
              <w:jc w:val="center"/>
              <w:rPr>
                <w:szCs w:val="20"/>
              </w:rPr>
            </w:pPr>
          </w:p>
        </w:tc>
        <w:tc>
          <w:tcPr>
            <w:tcW w:w="1305" w:type="dxa"/>
          </w:tcPr>
          <w:p w14:paraId="0253BBCA" w14:textId="77777777" w:rsidR="003A7EA9" w:rsidRPr="00280ECF" w:rsidRDefault="003A7EA9" w:rsidP="0016087B">
            <w:pPr>
              <w:jc w:val="center"/>
              <w:rPr>
                <w:color w:val="000000"/>
                <w:szCs w:val="20"/>
              </w:rPr>
            </w:pPr>
            <w:r w:rsidRPr="00280ECF">
              <w:rPr>
                <w:color w:val="000000"/>
                <w:szCs w:val="20"/>
              </w:rPr>
              <w:t>13,960</w:t>
            </w:r>
          </w:p>
        </w:tc>
        <w:tc>
          <w:tcPr>
            <w:tcW w:w="1305" w:type="dxa"/>
          </w:tcPr>
          <w:p w14:paraId="6157ED54" w14:textId="77777777" w:rsidR="003A7EA9" w:rsidRPr="00280ECF" w:rsidRDefault="003A7EA9" w:rsidP="0016087B">
            <w:pPr>
              <w:jc w:val="center"/>
              <w:rPr>
                <w:szCs w:val="20"/>
              </w:rPr>
            </w:pPr>
            <w:r w:rsidRPr="00280ECF">
              <w:rPr>
                <w:color w:val="000000"/>
                <w:szCs w:val="20"/>
              </w:rPr>
              <w:t>827</w:t>
            </w:r>
          </w:p>
        </w:tc>
        <w:tc>
          <w:tcPr>
            <w:tcW w:w="1305" w:type="dxa"/>
          </w:tcPr>
          <w:p w14:paraId="05388B29" w14:textId="77777777" w:rsidR="003A7EA9" w:rsidRPr="00280ECF" w:rsidRDefault="003A7EA9" w:rsidP="0016087B">
            <w:pPr>
              <w:jc w:val="center"/>
              <w:rPr>
                <w:color w:val="000000"/>
                <w:szCs w:val="20"/>
              </w:rPr>
            </w:pPr>
            <w:r w:rsidRPr="00280ECF">
              <w:rPr>
                <w:color w:val="000000"/>
                <w:szCs w:val="20"/>
              </w:rPr>
              <w:t>13,621</w:t>
            </w:r>
          </w:p>
        </w:tc>
      </w:tr>
      <w:tr w:rsidR="003A7EA9" w:rsidRPr="00280ECF" w14:paraId="3F792FBA" w14:textId="77777777" w:rsidTr="0016087B">
        <w:trPr>
          <w:trHeight w:val="367"/>
        </w:trPr>
        <w:tc>
          <w:tcPr>
            <w:tcW w:w="1885" w:type="dxa"/>
          </w:tcPr>
          <w:p w14:paraId="4891F9FF" w14:textId="77777777" w:rsidR="003A7EA9" w:rsidRPr="00280ECF" w:rsidRDefault="003A7EA9" w:rsidP="0016087B">
            <w:pPr>
              <w:rPr>
                <w:szCs w:val="20"/>
              </w:rPr>
            </w:pPr>
            <w:r w:rsidRPr="00280ECF">
              <w:rPr>
                <w:szCs w:val="20"/>
              </w:rPr>
              <w:t>ATAR participation</w:t>
            </w:r>
          </w:p>
        </w:tc>
        <w:tc>
          <w:tcPr>
            <w:tcW w:w="1305" w:type="dxa"/>
          </w:tcPr>
          <w:p w14:paraId="233083AE" w14:textId="77777777" w:rsidR="003A7EA9" w:rsidRPr="00280ECF" w:rsidRDefault="003A7EA9" w:rsidP="0016087B">
            <w:pPr>
              <w:jc w:val="center"/>
              <w:rPr>
                <w:color w:val="000000"/>
                <w:szCs w:val="20"/>
              </w:rPr>
            </w:pPr>
            <w:r w:rsidRPr="00280ECF">
              <w:rPr>
                <w:color w:val="000000"/>
                <w:szCs w:val="20"/>
              </w:rPr>
              <w:t>7.2%</w:t>
            </w:r>
          </w:p>
          <w:p w14:paraId="17386E19" w14:textId="77777777" w:rsidR="003A7EA9" w:rsidRPr="00280ECF" w:rsidRDefault="003A7EA9" w:rsidP="0016087B">
            <w:pPr>
              <w:jc w:val="center"/>
              <w:rPr>
                <w:szCs w:val="20"/>
              </w:rPr>
            </w:pPr>
          </w:p>
        </w:tc>
        <w:tc>
          <w:tcPr>
            <w:tcW w:w="1305" w:type="dxa"/>
          </w:tcPr>
          <w:p w14:paraId="6AE47E49" w14:textId="77777777" w:rsidR="003A7EA9" w:rsidRPr="00280ECF" w:rsidRDefault="003A7EA9" w:rsidP="0016087B">
            <w:pPr>
              <w:jc w:val="center"/>
              <w:rPr>
                <w:szCs w:val="20"/>
              </w:rPr>
            </w:pPr>
            <w:r w:rsidRPr="00280ECF">
              <w:rPr>
                <w:szCs w:val="20"/>
              </w:rPr>
              <w:t>35%</w:t>
            </w:r>
          </w:p>
        </w:tc>
        <w:tc>
          <w:tcPr>
            <w:tcW w:w="1305" w:type="dxa"/>
          </w:tcPr>
          <w:p w14:paraId="5ACDA21E" w14:textId="77777777" w:rsidR="003A7EA9" w:rsidRPr="00280ECF" w:rsidRDefault="003A7EA9" w:rsidP="0016087B">
            <w:pPr>
              <w:jc w:val="center"/>
              <w:rPr>
                <w:color w:val="000000"/>
                <w:szCs w:val="20"/>
              </w:rPr>
            </w:pPr>
            <w:r w:rsidRPr="00280ECF">
              <w:rPr>
                <w:color w:val="000000"/>
                <w:szCs w:val="20"/>
              </w:rPr>
              <w:t>6.0%</w:t>
            </w:r>
          </w:p>
          <w:p w14:paraId="1DD12C72" w14:textId="77777777" w:rsidR="003A7EA9" w:rsidRPr="00280ECF" w:rsidRDefault="003A7EA9" w:rsidP="0016087B">
            <w:pPr>
              <w:jc w:val="center"/>
              <w:rPr>
                <w:szCs w:val="20"/>
              </w:rPr>
            </w:pPr>
          </w:p>
        </w:tc>
        <w:tc>
          <w:tcPr>
            <w:tcW w:w="1305" w:type="dxa"/>
          </w:tcPr>
          <w:p w14:paraId="7CA2D931" w14:textId="77777777" w:rsidR="003A7EA9" w:rsidRPr="00280ECF" w:rsidRDefault="003A7EA9" w:rsidP="0016087B">
            <w:pPr>
              <w:jc w:val="center"/>
              <w:rPr>
                <w:szCs w:val="20"/>
              </w:rPr>
            </w:pPr>
            <w:r w:rsidRPr="00280ECF">
              <w:rPr>
                <w:szCs w:val="20"/>
              </w:rPr>
              <w:t>34.7%</w:t>
            </w:r>
          </w:p>
        </w:tc>
        <w:tc>
          <w:tcPr>
            <w:tcW w:w="1305" w:type="dxa"/>
          </w:tcPr>
          <w:p w14:paraId="0E732D75" w14:textId="77777777" w:rsidR="003A7EA9" w:rsidRPr="00280ECF" w:rsidRDefault="003A7EA9" w:rsidP="0016087B">
            <w:pPr>
              <w:jc w:val="center"/>
              <w:rPr>
                <w:color w:val="000000"/>
                <w:szCs w:val="20"/>
              </w:rPr>
            </w:pPr>
            <w:r w:rsidRPr="00280ECF">
              <w:rPr>
                <w:color w:val="000000"/>
                <w:szCs w:val="20"/>
              </w:rPr>
              <w:t>5.8%</w:t>
            </w:r>
          </w:p>
          <w:p w14:paraId="73A39055" w14:textId="77777777" w:rsidR="003A7EA9" w:rsidRPr="00280ECF" w:rsidRDefault="003A7EA9" w:rsidP="0016087B">
            <w:pPr>
              <w:jc w:val="center"/>
              <w:rPr>
                <w:szCs w:val="20"/>
              </w:rPr>
            </w:pPr>
          </w:p>
        </w:tc>
        <w:tc>
          <w:tcPr>
            <w:tcW w:w="1305" w:type="dxa"/>
          </w:tcPr>
          <w:p w14:paraId="64E4FADF" w14:textId="77777777" w:rsidR="003A7EA9" w:rsidRPr="00280ECF" w:rsidRDefault="003A7EA9" w:rsidP="0016087B">
            <w:pPr>
              <w:jc w:val="center"/>
              <w:rPr>
                <w:szCs w:val="20"/>
              </w:rPr>
            </w:pPr>
            <w:r w:rsidRPr="00280ECF">
              <w:rPr>
                <w:szCs w:val="20"/>
              </w:rPr>
              <w:t>30.2%</w:t>
            </w:r>
          </w:p>
        </w:tc>
      </w:tr>
      <w:tr w:rsidR="003A7EA9" w:rsidRPr="00280ECF" w14:paraId="6134A360" w14:textId="77777777" w:rsidTr="0016087B">
        <w:trPr>
          <w:trHeight w:val="331"/>
        </w:trPr>
        <w:tc>
          <w:tcPr>
            <w:tcW w:w="1885" w:type="dxa"/>
          </w:tcPr>
          <w:p w14:paraId="2728CFEF" w14:textId="77777777" w:rsidR="003A7EA9" w:rsidRPr="00280ECF" w:rsidRDefault="003A7EA9" w:rsidP="0016087B">
            <w:pPr>
              <w:rPr>
                <w:szCs w:val="20"/>
              </w:rPr>
            </w:pPr>
            <w:r w:rsidRPr="00280ECF">
              <w:rPr>
                <w:szCs w:val="20"/>
              </w:rPr>
              <w:t>WACE completion</w:t>
            </w:r>
          </w:p>
        </w:tc>
        <w:tc>
          <w:tcPr>
            <w:tcW w:w="1305" w:type="dxa"/>
          </w:tcPr>
          <w:p w14:paraId="63BDC3BC" w14:textId="77777777" w:rsidR="003A7EA9" w:rsidRPr="00280ECF" w:rsidRDefault="003A7EA9" w:rsidP="0016087B">
            <w:pPr>
              <w:jc w:val="center"/>
              <w:rPr>
                <w:color w:val="000000"/>
                <w:szCs w:val="20"/>
              </w:rPr>
            </w:pPr>
            <w:r w:rsidRPr="00280ECF">
              <w:rPr>
                <w:color w:val="000000"/>
                <w:szCs w:val="20"/>
              </w:rPr>
              <w:t>46.0%</w:t>
            </w:r>
          </w:p>
          <w:p w14:paraId="020B012E" w14:textId="77777777" w:rsidR="003A7EA9" w:rsidRPr="00280ECF" w:rsidRDefault="003A7EA9" w:rsidP="0016087B">
            <w:pPr>
              <w:jc w:val="center"/>
              <w:rPr>
                <w:szCs w:val="20"/>
              </w:rPr>
            </w:pPr>
          </w:p>
        </w:tc>
        <w:tc>
          <w:tcPr>
            <w:tcW w:w="1305" w:type="dxa"/>
          </w:tcPr>
          <w:p w14:paraId="7B38FB2D" w14:textId="77777777" w:rsidR="003A7EA9" w:rsidRPr="00280ECF" w:rsidRDefault="003A7EA9" w:rsidP="0016087B">
            <w:pPr>
              <w:jc w:val="center"/>
              <w:rPr>
                <w:szCs w:val="20"/>
              </w:rPr>
            </w:pPr>
            <w:r w:rsidRPr="00280ECF">
              <w:rPr>
                <w:szCs w:val="20"/>
              </w:rPr>
              <w:t>83%</w:t>
            </w:r>
          </w:p>
        </w:tc>
        <w:tc>
          <w:tcPr>
            <w:tcW w:w="1305" w:type="dxa"/>
          </w:tcPr>
          <w:p w14:paraId="5408F9C4" w14:textId="77777777" w:rsidR="003A7EA9" w:rsidRPr="00280ECF" w:rsidRDefault="003A7EA9" w:rsidP="0016087B">
            <w:pPr>
              <w:jc w:val="center"/>
              <w:rPr>
                <w:color w:val="000000"/>
                <w:szCs w:val="20"/>
              </w:rPr>
            </w:pPr>
            <w:r w:rsidRPr="00280ECF">
              <w:rPr>
                <w:color w:val="000000"/>
                <w:szCs w:val="20"/>
              </w:rPr>
              <w:t>42.6%</w:t>
            </w:r>
          </w:p>
          <w:p w14:paraId="7762ADE4" w14:textId="77777777" w:rsidR="003A7EA9" w:rsidRPr="00280ECF" w:rsidRDefault="003A7EA9" w:rsidP="0016087B">
            <w:pPr>
              <w:jc w:val="center"/>
              <w:rPr>
                <w:szCs w:val="20"/>
              </w:rPr>
            </w:pPr>
          </w:p>
        </w:tc>
        <w:tc>
          <w:tcPr>
            <w:tcW w:w="1305" w:type="dxa"/>
          </w:tcPr>
          <w:p w14:paraId="1FB5EDEE" w14:textId="77777777" w:rsidR="003A7EA9" w:rsidRPr="00280ECF" w:rsidRDefault="003A7EA9" w:rsidP="0016087B">
            <w:pPr>
              <w:jc w:val="center"/>
              <w:rPr>
                <w:szCs w:val="20"/>
              </w:rPr>
            </w:pPr>
            <w:r w:rsidRPr="00280ECF">
              <w:rPr>
                <w:szCs w:val="20"/>
              </w:rPr>
              <w:t>79.9%</w:t>
            </w:r>
          </w:p>
        </w:tc>
        <w:tc>
          <w:tcPr>
            <w:tcW w:w="1305" w:type="dxa"/>
          </w:tcPr>
          <w:p w14:paraId="21757EBB" w14:textId="77777777" w:rsidR="003A7EA9" w:rsidRPr="00280ECF" w:rsidRDefault="003A7EA9" w:rsidP="0016087B">
            <w:pPr>
              <w:jc w:val="center"/>
              <w:rPr>
                <w:color w:val="000000"/>
                <w:szCs w:val="20"/>
              </w:rPr>
            </w:pPr>
            <w:r w:rsidRPr="00280ECF">
              <w:rPr>
                <w:color w:val="000000"/>
                <w:szCs w:val="20"/>
              </w:rPr>
              <w:t>41.4%</w:t>
            </w:r>
          </w:p>
          <w:p w14:paraId="338B9969" w14:textId="77777777" w:rsidR="003A7EA9" w:rsidRPr="00280ECF" w:rsidRDefault="003A7EA9" w:rsidP="0016087B">
            <w:pPr>
              <w:jc w:val="center"/>
              <w:rPr>
                <w:szCs w:val="20"/>
              </w:rPr>
            </w:pPr>
          </w:p>
        </w:tc>
        <w:tc>
          <w:tcPr>
            <w:tcW w:w="1305" w:type="dxa"/>
          </w:tcPr>
          <w:p w14:paraId="0D8923F2" w14:textId="77777777" w:rsidR="003A7EA9" w:rsidRPr="00280ECF" w:rsidRDefault="003A7EA9" w:rsidP="0016087B">
            <w:pPr>
              <w:jc w:val="center"/>
              <w:rPr>
                <w:szCs w:val="20"/>
              </w:rPr>
            </w:pPr>
            <w:r w:rsidRPr="00280ECF">
              <w:rPr>
                <w:szCs w:val="20"/>
              </w:rPr>
              <w:t>78.0%</w:t>
            </w:r>
          </w:p>
        </w:tc>
      </w:tr>
    </w:tbl>
    <w:p w14:paraId="3B6C7703" w14:textId="77777777" w:rsidR="003A7EA9" w:rsidRPr="00C902D4" w:rsidRDefault="003A7EA9" w:rsidP="00C41578">
      <w:pPr>
        <w:pStyle w:val="JANZSSABodyCopy10pt"/>
      </w:pPr>
      <w:r w:rsidRPr="00C902D4">
        <w:t xml:space="preserve">(Western Australian Department of Education, 2023a) </w:t>
      </w:r>
    </w:p>
    <w:p w14:paraId="4B1E7F76" w14:textId="77777777" w:rsidR="003A7EA9" w:rsidRPr="00423E24" w:rsidRDefault="003A7EA9" w:rsidP="00241DDA">
      <w:pPr>
        <w:pStyle w:val="JANZSSAHeading2"/>
      </w:pPr>
      <w:r w:rsidRPr="00423E24">
        <w:t>Postsecondary outcomes</w:t>
      </w:r>
    </w:p>
    <w:p w14:paraId="6C0CB5BF" w14:textId="719F0D94" w:rsidR="003A7EA9" w:rsidRPr="00423E24" w:rsidRDefault="003A7EA9" w:rsidP="009051D3">
      <w:pPr>
        <w:pStyle w:val="JANZSSABodycopy"/>
      </w:pPr>
      <w:r w:rsidRPr="00423E24">
        <w:t xml:space="preserve">As outlined in the methods section, Queensland and Victoria are the only states that currently collect data on the destinations of secondary school leavers, with both states running voluntary surveys completed by school leavers after they have completed Year 12. The following data from both states </w:t>
      </w:r>
      <w:r>
        <w:t>reveal</w:t>
      </w:r>
      <w:r w:rsidRPr="00423E24">
        <w:t xml:space="preserve"> outcomes for students who completed </w:t>
      </w:r>
      <w:r w:rsidR="006171E5">
        <w:t>Y</w:t>
      </w:r>
      <w:r w:rsidRPr="00423E24">
        <w:t>ear 12 in 2021 and responded to surveys in 2022.</w:t>
      </w:r>
    </w:p>
    <w:p w14:paraId="3EA53F19" w14:textId="77777777" w:rsidR="003A7EA9" w:rsidRPr="00423E24" w:rsidRDefault="003A7EA9" w:rsidP="00241DDA">
      <w:pPr>
        <w:pStyle w:val="JANZSSAHeading3"/>
      </w:pPr>
      <w:r w:rsidRPr="00423E24">
        <w:t>Queensland</w:t>
      </w:r>
    </w:p>
    <w:p w14:paraId="64726C56" w14:textId="031E8DFC" w:rsidR="003A7EA9" w:rsidRPr="00423E24" w:rsidRDefault="003A7EA9" w:rsidP="009051D3">
      <w:pPr>
        <w:pStyle w:val="JANZSSABodycopy"/>
      </w:pPr>
      <w:r w:rsidRPr="00423E24">
        <w:t xml:space="preserve">In Queensland, Next Step is an annual, voluntary survey completed </w:t>
      </w:r>
      <w:r w:rsidRPr="0035017F">
        <w:t>6 months</w:t>
      </w:r>
      <w:r w:rsidRPr="00423E24">
        <w:t xml:space="preserve"> after finishing Year 12, with a</w:t>
      </w:r>
      <w:r w:rsidR="007F0A50">
        <w:t>n overall</w:t>
      </w:r>
      <w:r w:rsidRPr="00423E24">
        <w:t xml:space="preserve"> response rate of 76.9 per cent in 2022 (Queensland Department of Education, 2023). The response rate for Indigenous Year 12 students in 2022 was 61.2 per cent (Queensland Department of Education, 2023). </w:t>
      </w:r>
      <w:r w:rsidRPr="00EE51F7">
        <w:t xml:space="preserve">Notably, responses reveal that 65.1 per cent of all respondents who completed Year 12 in 2021 with an ATAR were enrolled in a </w:t>
      </w:r>
      <w:proofErr w:type="gramStart"/>
      <w:r w:rsidRPr="00A869D1">
        <w:t>Ba</w:t>
      </w:r>
      <w:r w:rsidRPr="00EE51F7">
        <w:t>chelor</w:t>
      </w:r>
      <w:proofErr w:type="gramEnd"/>
      <w:r w:rsidRPr="00EE51F7">
        <w:t xml:space="preserve"> degree at a higher education institution in 2022.</w:t>
      </w:r>
      <w:r w:rsidRPr="00423E24">
        <w:t xml:space="preserve"> By contrast, very few (5.2 per cent) of the equivalent non-ATAR respondents were enrolled in a </w:t>
      </w:r>
      <w:proofErr w:type="gramStart"/>
      <w:r w:rsidRPr="00423E24">
        <w:t>Bachelor</w:t>
      </w:r>
      <w:proofErr w:type="gramEnd"/>
      <w:r w:rsidRPr="00423E24">
        <w:t xml:space="preserve"> degree. This </w:t>
      </w:r>
      <w:r>
        <w:t xml:space="preserve">gap </w:t>
      </w:r>
      <w:r w:rsidRPr="00423E24">
        <w:t xml:space="preserve">reveals the extent to which the ATAR </w:t>
      </w:r>
      <w:r w:rsidRPr="00423E24">
        <w:lastRenderedPageBreak/>
        <w:t xml:space="preserve">stream is perceived as a higher education pathway. Conversely, very few non-ATAR students appear to be transitioning directly to university, despite the range of alternative admissions pathways offered. </w:t>
      </w:r>
    </w:p>
    <w:p w14:paraId="14B2F94F" w14:textId="5A77A74F" w:rsidR="003A7EA9" w:rsidRPr="00423E24" w:rsidRDefault="003A7EA9" w:rsidP="002D0346">
      <w:pPr>
        <w:pStyle w:val="JANZSSABodycopy"/>
        <w:spacing w:after="240"/>
      </w:pPr>
      <w:r w:rsidRPr="00423E24">
        <w:t>As expected, students who completed Year 12 without an ATAR were much more likely to be undertaking an apprenticeship (17 per cent) or employed in either part</w:t>
      </w:r>
      <w:r w:rsidR="005432E9">
        <w:t>-</w:t>
      </w:r>
      <w:r w:rsidRPr="00423E24">
        <w:t>time or full-time work (43 per cent)</w:t>
      </w:r>
      <w:r w:rsidR="005432E9">
        <w:t>.</w:t>
      </w:r>
      <w:r w:rsidRPr="00423E24">
        <w:t xml:space="preserve"> Notably though, students from the non-ATAR stream were </w:t>
      </w:r>
      <w:r>
        <w:t>over</w:t>
      </w:r>
      <w:r w:rsidRPr="00423E24">
        <w:t xml:space="preserve"> four times more likely </w:t>
      </w:r>
      <w:r w:rsidRPr="00675F5A">
        <w:t>(5.2 per cent vs</w:t>
      </w:r>
      <w:r w:rsidR="005432E9">
        <w:t>.</w:t>
      </w:r>
      <w:r w:rsidRPr="00675F5A">
        <w:t xml:space="preserve"> 1.2 per cent)</w:t>
      </w:r>
      <w:r>
        <w:t xml:space="preserve"> </w:t>
      </w:r>
      <w:r w:rsidRPr="00423E24">
        <w:t xml:space="preserve">to be ‘not in the labour force, education or training’ (NILFET) at all. </w:t>
      </w:r>
    </w:p>
    <w:p w14:paraId="31130BEA" w14:textId="77777777" w:rsidR="003A7EA9" w:rsidRPr="00C7420D" w:rsidRDefault="003A7EA9" w:rsidP="009051D3">
      <w:pPr>
        <w:pStyle w:val="JANZSSAFigureTableNumber"/>
      </w:pPr>
      <w:r w:rsidRPr="00C7420D">
        <w:t>Table 3</w:t>
      </w:r>
    </w:p>
    <w:p w14:paraId="42BCDD09" w14:textId="02D1D758" w:rsidR="003A7EA9" w:rsidRPr="00C7420D" w:rsidRDefault="003A7EA9" w:rsidP="009051D3">
      <w:pPr>
        <w:pStyle w:val="JANZSSATableLabel"/>
      </w:pPr>
      <w:r w:rsidRPr="00C7420D">
        <w:t xml:space="preserve">Main </w:t>
      </w:r>
      <w:r>
        <w:t>D</w:t>
      </w:r>
      <w:r w:rsidRPr="00C7420D">
        <w:t>estination of Year 12 Completers by ATAR, from the Queensland Next</w:t>
      </w:r>
      <w:r w:rsidR="00D275AC">
        <w:t xml:space="preserve"> </w:t>
      </w:r>
      <w:r w:rsidRPr="00C7420D">
        <w:t xml:space="preserve">Step Survey, 2022 </w:t>
      </w:r>
    </w:p>
    <w:tbl>
      <w:tblPr>
        <w:tblW w:w="9630" w:type="dxa"/>
        <w:tblBorders>
          <w:top w:val="single" w:sz="4" w:space="0" w:color="auto"/>
          <w:bottom w:val="single" w:sz="4" w:space="0" w:color="auto"/>
        </w:tblBorders>
        <w:tblLayout w:type="fixed"/>
        <w:tblLook w:val="04A0" w:firstRow="1" w:lastRow="0" w:firstColumn="1" w:lastColumn="0" w:noHBand="0" w:noVBand="1"/>
      </w:tblPr>
      <w:tblGrid>
        <w:gridCol w:w="2700"/>
        <w:gridCol w:w="1386"/>
        <w:gridCol w:w="1386"/>
        <w:gridCol w:w="1386"/>
        <w:gridCol w:w="1386"/>
        <w:gridCol w:w="1386"/>
      </w:tblGrid>
      <w:tr w:rsidR="0016087B" w:rsidRPr="00C7420D" w14:paraId="102B1DE7" w14:textId="77777777">
        <w:trPr>
          <w:trHeight w:val="933"/>
        </w:trPr>
        <w:tc>
          <w:tcPr>
            <w:tcW w:w="2700" w:type="dxa"/>
            <w:tcBorders>
              <w:top w:val="single" w:sz="4" w:space="0" w:color="auto"/>
              <w:bottom w:val="single" w:sz="4" w:space="0" w:color="auto"/>
            </w:tcBorders>
            <w:vAlign w:val="center"/>
            <w:hideMark/>
          </w:tcPr>
          <w:p w14:paraId="6278719E" w14:textId="4F224067" w:rsidR="0016087B" w:rsidRPr="00C7420D" w:rsidRDefault="0016087B">
            <w:pPr>
              <w:jc w:val="center"/>
              <w:rPr>
                <w:rFonts w:eastAsia="Times New Roman"/>
                <w:b/>
                <w:color w:val="000000"/>
                <w:szCs w:val="20"/>
              </w:rPr>
            </w:pPr>
            <w:r w:rsidRPr="00C7420D">
              <w:rPr>
                <w:rFonts w:eastAsia="Times New Roman"/>
                <w:b/>
                <w:color w:val="000000"/>
                <w:szCs w:val="20"/>
              </w:rPr>
              <w:t xml:space="preserve">Main </w:t>
            </w:r>
            <w:r w:rsidR="005432E9">
              <w:rPr>
                <w:rFonts w:eastAsia="Times New Roman"/>
                <w:b/>
                <w:color w:val="000000"/>
                <w:szCs w:val="20"/>
              </w:rPr>
              <w:t>d</w:t>
            </w:r>
            <w:r w:rsidRPr="00C7420D">
              <w:rPr>
                <w:rFonts w:eastAsia="Times New Roman"/>
                <w:b/>
                <w:color w:val="000000"/>
                <w:szCs w:val="20"/>
              </w:rPr>
              <w:t>estination</w:t>
            </w:r>
          </w:p>
        </w:tc>
        <w:tc>
          <w:tcPr>
            <w:tcW w:w="2772" w:type="dxa"/>
            <w:gridSpan w:val="2"/>
            <w:tcBorders>
              <w:top w:val="single" w:sz="4" w:space="0" w:color="auto"/>
              <w:bottom w:val="single" w:sz="4" w:space="0" w:color="auto"/>
            </w:tcBorders>
            <w:noWrap/>
            <w:vAlign w:val="center"/>
            <w:hideMark/>
          </w:tcPr>
          <w:p w14:paraId="10FD75C9" w14:textId="59E20F7A" w:rsidR="0016087B" w:rsidRPr="00C7420D" w:rsidRDefault="0016087B">
            <w:pPr>
              <w:rPr>
                <w:rFonts w:eastAsia="Times New Roman"/>
                <w:b/>
                <w:color w:val="000000"/>
                <w:szCs w:val="20"/>
              </w:rPr>
            </w:pPr>
            <w:r w:rsidRPr="00C7420D">
              <w:rPr>
                <w:rFonts w:eastAsia="Times New Roman"/>
                <w:b/>
                <w:color w:val="000000"/>
                <w:szCs w:val="20"/>
              </w:rPr>
              <w:t>ATAR stream</w:t>
            </w:r>
          </w:p>
        </w:tc>
        <w:tc>
          <w:tcPr>
            <w:tcW w:w="2772" w:type="dxa"/>
            <w:gridSpan w:val="2"/>
            <w:tcBorders>
              <w:top w:val="single" w:sz="4" w:space="0" w:color="auto"/>
              <w:bottom w:val="single" w:sz="4" w:space="0" w:color="auto"/>
            </w:tcBorders>
            <w:vAlign w:val="center"/>
          </w:tcPr>
          <w:p w14:paraId="2EC5D0BF" w14:textId="2A2B6242" w:rsidR="0016087B" w:rsidRPr="00C7420D" w:rsidRDefault="0016087B">
            <w:pPr>
              <w:rPr>
                <w:rFonts w:eastAsia="Times New Roman"/>
                <w:b/>
                <w:color w:val="000000"/>
                <w:szCs w:val="20"/>
              </w:rPr>
            </w:pPr>
            <w:r w:rsidRPr="00C7420D">
              <w:rPr>
                <w:rFonts w:eastAsia="Times New Roman"/>
                <w:b/>
                <w:color w:val="000000"/>
                <w:szCs w:val="20"/>
              </w:rPr>
              <w:t>Non-ATAR stream</w:t>
            </w:r>
          </w:p>
        </w:tc>
        <w:tc>
          <w:tcPr>
            <w:tcW w:w="1386" w:type="dxa"/>
            <w:tcBorders>
              <w:top w:val="single" w:sz="4" w:space="0" w:color="auto"/>
              <w:bottom w:val="single" w:sz="4" w:space="0" w:color="auto"/>
            </w:tcBorders>
            <w:vAlign w:val="center"/>
          </w:tcPr>
          <w:p w14:paraId="30D5ABC3" w14:textId="599B1D74" w:rsidR="0016087B" w:rsidRPr="00C7420D" w:rsidRDefault="0016087B">
            <w:pPr>
              <w:rPr>
                <w:rFonts w:eastAsia="Times New Roman"/>
                <w:b/>
                <w:color w:val="000000"/>
                <w:szCs w:val="20"/>
              </w:rPr>
            </w:pPr>
            <w:r w:rsidRPr="00C7420D">
              <w:rPr>
                <w:rFonts w:eastAsia="Times New Roman"/>
                <w:b/>
                <w:color w:val="000000"/>
                <w:szCs w:val="20"/>
              </w:rPr>
              <w:t>Percentage of all survey respondents</w:t>
            </w:r>
          </w:p>
        </w:tc>
      </w:tr>
      <w:tr w:rsidR="003A7EA9" w:rsidRPr="00C7420D" w14:paraId="4EA59EFB" w14:textId="77777777" w:rsidTr="0016087B">
        <w:trPr>
          <w:trHeight w:val="289"/>
        </w:trPr>
        <w:tc>
          <w:tcPr>
            <w:tcW w:w="2700" w:type="dxa"/>
            <w:tcBorders>
              <w:top w:val="single" w:sz="4" w:space="0" w:color="auto"/>
            </w:tcBorders>
            <w:vAlign w:val="center"/>
            <w:hideMark/>
          </w:tcPr>
          <w:p w14:paraId="6126D406" w14:textId="473F081C" w:rsidR="003A7EA9" w:rsidRPr="00C7420D" w:rsidRDefault="003A7EA9">
            <w:pPr>
              <w:rPr>
                <w:rFonts w:eastAsia="Times New Roman"/>
                <w:color w:val="000000"/>
                <w:szCs w:val="20"/>
              </w:rPr>
            </w:pPr>
            <w:proofErr w:type="gramStart"/>
            <w:r w:rsidRPr="00C7420D">
              <w:rPr>
                <w:rFonts w:eastAsia="Times New Roman"/>
                <w:color w:val="000000"/>
                <w:szCs w:val="20"/>
              </w:rPr>
              <w:t>Bachelor</w:t>
            </w:r>
            <w:proofErr w:type="gramEnd"/>
            <w:r w:rsidRPr="00C7420D">
              <w:rPr>
                <w:rFonts w:eastAsia="Times New Roman"/>
                <w:color w:val="000000"/>
                <w:szCs w:val="20"/>
              </w:rPr>
              <w:t xml:space="preserve"> </w:t>
            </w:r>
            <w:r w:rsidR="00DF6041">
              <w:rPr>
                <w:rFonts w:eastAsia="Times New Roman"/>
                <w:color w:val="000000"/>
                <w:szCs w:val="20"/>
              </w:rPr>
              <w:t>d</w:t>
            </w:r>
            <w:r w:rsidRPr="00C7420D">
              <w:rPr>
                <w:rFonts w:eastAsia="Times New Roman"/>
                <w:color w:val="000000"/>
                <w:szCs w:val="20"/>
              </w:rPr>
              <w:t>egree</w:t>
            </w:r>
          </w:p>
        </w:tc>
        <w:tc>
          <w:tcPr>
            <w:tcW w:w="1386" w:type="dxa"/>
            <w:tcBorders>
              <w:top w:val="single" w:sz="4" w:space="0" w:color="auto"/>
            </w:tcBorders>
            <w:noWrap/>
            <w:vAlign w:val="center"/>
            <w:hideMark/>
          </w:tcPr>
          <w:p w14:paraId="29A0D15C" w14:textId="77777777" w:rsidR="003A7EA9" w:rsidRPr="00C7420D" w:rsidRDefault="003A7EA9">
            <w:pPr>
              <w:jc w:val="center"/>
              <w:rPr>
                <w:rFonts w:eastAsia="Times New Roman"/>
                <w:color w:val="000000"/>
                <w:szCs w:val="20"/>
              </w:rPr>
            </w:pPr>
            <w:r w:rsidRPr="00C7420D">
              <w:rPr>
                <w:rFonts w:eastAsia="Times New Roman"/>
                <w:color w:val="000000"/>
                <w:szCs w:val="20"/>
              </w:rPr>
              <w:t>14,988</w:t>
            </w:r>
          </w:p>
        </w:tc>
        <w:tc>
          <w:tcPr>
            <w:tcW w:w="1386" w:type="dxa"/>
            <w:tcBorders>
              <w:top w:val="single" w:sz="4" w:space="0" w:color="auto"/>
            </w:tcBorders>
            <w:noWrap/>
            <w:vAlign w:val="center"/>
            <w:hideMark/>
          </w:tcPr>
          <w:p w14:paraId="198C6E79" w14:textId="77777777" w:rsidR="003A7EA9" w:rsidRPr="00C7420D" w:rsidRDefault="003A7EA9">
            <w:pPr>
              <w:jc w:val="center"/>
              <w:rPr>
                <w:rFonts w:eastAsia="Times New Roman"/>
                <w:color w:val="000000"/>
                <w:szCs w:val="20"/>
              </w:rPr>
            </w:pPr>
            <w:r w:rsidRPr="00C7420D">
              <w:rPr>
                <w:rFonts w:eastAsia="Times New Roman"/>
                <w:color w:val="000000"/>
                <w:szCs w:val="20"/>
              </w:rPr>
              <w:t>65.10%</w:t>
            </w:r>
          </w:p>
        </w:tc>
        <w:tc>
          <w:tcPr>
            <w:tcW w:w="1386" w:type="dxa"/>
            <w:tcBorders>
              <w:top w:val="single" w:sz="4" w:space="0" w:color="auto"/>
            </w:tcBorders>
            <w:noWrap/>
            <w:vAlign w:val="center"/>
            <w:hideMark/>
          </w:tcPr>
          <w:p w14:paraId="3B76C657" w14:textId="77777777" w:rsidR="003A7EA9" w:rsidRPr="00C7420D" w:rsidRDefault="003A7EA9">
            <w:pPr>
              <w:jc w:val="center"/>
              <w:rPr>
                <w:rFonts w:eastAsia="Times New Roman"/>
                <w:color w:val="000000"/>
                <w:szCs w:val="20"/>
              </w:rPr>
            </w:pPr>
            <w:r w:rsidRPr="00C7420D">
              <w:rPr>
                <w:rFonts w:eastAsia="Times New Roman"/>
                <w:color w:val="000000"/>
                <w:szCs w:val="20"/>
              </w:rPr>
              <w:t>865</w:t>
            </w:r>
          </w:p>
        </w:tc>
        <w:tc>
          <w:tcPr>
            <w:tcW w:w="1386" w:type="dxa"/>
            <w:tcBorders>
              <w:top w:val="single" w:sz="4" w:space="0" w:color="auto"/>
            </w:tcBorders>
            <w:noWrap/>
            <w:vAlign w:val="center"/>
            <w:hideMark/>
          </w:tcPr>
          <w:p w14:paraId="56A3BBCA" w14:textId="77777777" w:rsidR="003A7EA9" w:rsidRPr="00C7420D" w:rsidRDefault="003A7EA9">
            <w:pPr>
              <w:jc w:val="center"/>
              <w:rPr>
                <w:rFonts w:eastAsia="Times New Roman"/>
                <w:color w:val="000000"/>
                <w:szCs w:val="20"/>
              </w:rPr>
            </w:pPr>
            <w:r w:rsidRPr="00C7420D">
              <w:rPr>
                <w:rFonts w:eastAsia="Times New Roman"/>
                <w:color w:val="000000"/>
                <w:szCs w:val="20"/>
              </w:rPr>
              <w:t>5.20%</w:t>
            </w:r>
          </w:p>
        </w:tc>
        <w:tc>
          <w:tcPr>
            <w:tcW w:w="1386" w:type="dxa"/>
            <w:tcBorders>
              <w:top w:val="single" w:sz="4" w:space="0" w:color="auto"/>
            </w:tcBorders>
            <w:vAlign w:val="center"/>
            <w:hideMark/>
          </w:tcPr>
          <w:p w14:paraId="62681976" w14:textId="77777777" w:rsidR="003A7EA9" w:rsidRPr="00C7420D" w:rsidRDefault="003A7EA9">
            <w:pPr>
              <w:jc w:val="center"/>
              <w:rPr>
                <w:rFonts w:eastAsia="Times New Roman"/>
                <w:color w:val="000000"/>
                <w:szCs w:val="20"/>
              </w:rPr>
            </w:pPr>
            <w:r w:rsidRPr="00C7420D">
              <w:rPr>
                <w:rFonts w:eastAsia="Times New Roman"/>
                <w:color w:val="000000"/>
                <w:szCs w:val="20"/>
              </w:rPr>
              <w:t>40.10%</w:t>
            </w:r>
          </w:p>
        </w:tc>
      </w:tr>
      <w:tr w:rsidR="003A7EA9" w:rsidRPr="00C7420D" w14:paraId="3CBE53D1" w14:textId="77777777" w:rsidTr="0016087B">
        <w:trPr>
          <w:trHeight w:val="289"/>
        </w:trPr>
        <w:tc>
          <w:tcPr>
            <w:tcW w:w="2700" w:type="dxa"/>
            <w:noWrap/>
            <w:vAlign w:val="bottom"/>
            <w:hideMark/>
          </w:tcPr>
          <w:p w14:paraId="42D0D83A" w14:textId="5826FC67" w:rsidR="003A7EA9" w:rsidRPr="00C7420D" w:rsidRDefault="003A7EA9">
            <w:pPr>
              <w:rPr>
                <w:rFonts w:eastAsia="Times New Roman"/>
                <w:color w:val="000000"/>
                <w:szCs w:val="20"/>
              </w:rPr>
            </w:pPr>
            <w:r w:rsidRPr="00C7420D">
              <w:rPr>
                <w:rFonts w:eastAsia="Times New Roman"/>
                <w:color w:val="000000"/>
                <w:szCs w:val="20"/>
              </w:rPr>
              <w:t>VET Certs I</w:t>
            </w:r>
            <w:r w:rsidR="005432E9">
              <w:rPr>
                <w:rFonts w:eastAsia="Times New Roman"/>
                <w:color w:val="000000"/>
                <w:szCs w:val="20"/>
              </w:rPr>
              <w:t>–</w:t>
            </w:r>
            <w:r w:rsidRPr="00C7420D">
              <w:rPr>
                <w:rFonts w:eastAsia="Times New Roman"/>
                <w:color w:val="000000"/>
                <w:szCs w:val="20"/>
              </w:rPr>
              <w:t>IV</w:t>
            </w:r>
          </w:p>
        </w:tc>
        <w:tc>
          <w:tcPr>
            <w:tcW w:w="1386" w:type="dxa"/>
            <w:noWrap/>
            <w:vAlign w:val="bottom"/>
            <w:hideMark/>
          </w:tcPr>
          <w:p w14:paraId="61040920" w14:textId="484B95C8" w:rsidR="003A7EA9" w:rsidRPr="00C7420D" w:rsidRDefault="003A7EA9">
            <w:pPr>
              <w:jc w:val="center"/>
              <w:rPr>
                <w:rFonts w:eastAsia="Times New Roman"/>
                <w:color w:val="000000"/>
                <w:szCs w:val="20"/>
              </w:rPr>
            </w:pPr>
            <w:r w:rsidRPr="00C7420D">
              <w:rPr>
                <w:rFonts w:eastAsia="Times New Roman"/>
                <w:color w:val="000000"/>
                <w:szCs w:val="20"/>
              </w:rPr>
              <w:t>1</w:t>
            </w:r>
            <w:r w:rsidR="005432E9">
              <w:rPr>
                <w:rFonts w:eastAsia="Times New Roman"/>
                <w:color w:val="000000"/>
                <w:szCs w:val="20"/>
              </w:rPr>
              <w:t>,</w:t>
            </w:r>
            <w:r w:rsidRPr="00C7420D">
              <w:rPr>
                <w:rFonts w:eastAsia="Times New Roman"/>
                <w:color w:val="000000"/>
                <w:szCs w:val="20"/>
              </w:rPr>
              <w:t>434</w:t>
            </w:r>
          </w:p>
        </w:tc>
        <w:tc>
          <w:tcPr>
            <w:tcW w:w="1386" w:type="dxa"/>
            <w:noWrap/>
            <w:vAlign w:val="bottom"/>
            <w:hideMark/>
          </w:tcPr>
          <w:p w14:paraId="72DF0B94" w14:textId="77777777" w:rsidR="003A7EA9" w:rsidRPr="00C7420D" w:rsidRDefault="003A7EA9">
            <w:pPr>
              <w:jc w:val="center"/>
              <w:rPr>
                <w:rFonts w:eastAsia="Times New Roman"/>
                <w:color w:val="000000"/>
                <w:szCs w:val="20"/>
              </w:rPr>
            </w:pPr>
            <w:r w:rsidRPr="00C7420D">
              <w:rPr>
                <w:rFonts w:eastAsia="Times New Roman"/>
                <w:color w:val="000000"/>
                <w:szCs w:val="20"/>
              </w:rPr>
              <w:t>6.20%</w:t>
            </w:r>
          </w:p>
        </w:tc>
        <w:tc>
          <w:tcPr>
            <w:tcW w:w="1386" w:type="dxa"/>
            <w:noWrap/>
            <w:vAlign w:val="bottom"/>
            <w:hideMark/>
          </w:tcPr>
          <w:p w14:paraId="71CC2FBD" w14:textId="73F9C07D" w:rsidR="003A7EA9" w:rsidRPr="00C7420D" w:rsidRDefault="003A7EA9">
            <w:pPr>
              <w:jc w:val="center"/>
              <w:rPr>
                <w:rFonts w:eastAsia="Times New Roman"/>
                <w:color w:val="000000"/>
                <w:szCs w:val="20"/>
              </w:rPr>
            </w:pPr>
            <w:r w:rsidRPr="00C7420D">
              <w:rPr>
                <w:rFonts w:eastAsia="Times New Roman"/>
                <w:color w:val="000000"/>
                <w:szCs w:val="20"/>
              </w:rPr>
              <w:t>2</w:t>
            </w:r>
            <w:r w:rsidR="005432E9">
              <w:rPr>
                <w:rFonts w:eastAsia="Times New Roman"/>
                <w:color w:val="000000"/>
                <w:szCs w:val="20"/>
              </w:rPr>
              <w:t>,</w:t>
            </w:r>
            <w:r w:rsidRPr="00C7420D">
              <w:rPr>
                <w:rFonts w:eastAsia="Times New Roman"/>
                <w:color w:val="000000"/>
                <w:szCs w:val="20"/>
              </w:rPr>
              <w:t>132</w:t>
            </w:r>
          </w:p>
        </w:tc>
        <w:tc>
          <w:tcPr>
            <w:tcW w:w="1386" w:type="dxa"/>
            <w:noWrap/>
            <w:vAlign w:val="bottom"/>
            <w:hideMark/>
          </w:tcPr>
          <w:p w14:paraId="415052FB" w14:textId="77777777" w:rsidR="003A7EA9" w:rsidRPr="00C7420D" w:rsidRDefault="003A7EA9">
            <w:pPr>
              <w:jc w:val="center"/>
              <w:rPr>
                <w:rFonts w:eastAsia="Times New Roman"/>
                <w:color w:val="000000"/>
                <w:szCs w:val="20"/>
              </w:rPr>
            </w:pPr>
            <w:r w:rsidRPr="00C7420D">
              <w:rPr>
                <w:rFonts w:eastAsia="Times New Roman"/>
                <w:color w:val="000000"/>
                <w:szCs w:val="20"/>
              </w:rPr>
              <w:t>12.90%</w:t>
            </w:r>
          </w:p>
        </w:tc>
        <w:tc>
          <w:tcPr>
            <w:tcW w:w="1386" w:type="dxa"/>
            <w:noWrap/>
            <w:vAlign w:val="bottom"/>
            <w:hideMark/>
          </w:tcPr>
          <w:p w14:paraId="418C419F" w14:textId="77777777" w:rsidR="003A7EA9" w:rsidRPr="00C7420D" w:rsidRDefault="003A7EA9">
            <w:pPr>
              <w:jc w:val="center"/>
              <w:rPr>
                <w:rFonts w:eastAsia="Times New Roman"/>
                <w:color w:val="000000"/>
                <w:szCs w:val="20"/>
              </w:rPr>
            </w:pPr>
            <w:r w:rsidRPr="00C7420D">
              <w:rPr>
                <w:rFonts w:eastAsia="Times New Roman"/>
                <w:color w:val="000000"/>
                <w:szCs w:val="20"/>
              </w:rPr>
              <w:t>9.00%</w:t>
            </w:r>
          </w:p>
        </w:tc>
      </w:tr>
      <w:tr w:rsidR="003A7EA9" w:rsidRPr="00C7420D" w14:paraId="72A6BB82" w14:textId="77777777" w:rsidTr="0016087B">
        <w:trPr>
          <w:trHeight w:val="289"/>
        </w:trPr>
        <w:tc>
          <w:tcPr>
            <w:tcW w:w="2700" w:type="dxa"/>
            <w:noWrap/>
            <w:vAlign w:val="bottom"/>
            <w:hideMark/>
          </w:tcPr>
          <w:p w14:paraId="6CA257B5" w14:textId="6AADF147" w:rsidR="003A7EA9" w:rsidRPr="00C7420D" w:rsidRDefault="003A7EA9">
            <w:pPr>
              <w:rPr>
                <w:rFonts w:eastAsia="Times New Roman"/>
                <w:color w:val="000000"/>
                <w:szCs w:val="20"/>
              </w:rPr>
            </w:pPr>
            <w:r w:rsidRPr="00C7420D">
              <w:rPr>
                <w:rFonts w:eastAsia="Times New Roman"/>
                <w:color w:val="000000"/>
                <w:szCs w:val="20"/>
              </w:rPr>
              <w:t>Apprenticeship/Traineeship</w:t>
            </w:r>
          </w:p>
        </w:tc>
        <w:tc>
          <w:tcPr>
            <w:tcW w:w="1386" w:type="dxa"/>
            <w:noWrap/>
            <w:vAlign w:val="bottom"/>
            <w:hideMark/>
          </w:tcPr>
          <w:p w14:paraId="2B0BB257" w14:textId="77777777" w:rsidR="003A7EA9" w:rsidRPr="00C7420D" w:rsidRDefault="003A7EA9">
            <w:pPr>
              <w:jc w:val="center"/>
              <w:rPr>
                <w:rFonts w:eastAsia="Times New Roman"/>
                <w:color w:val="000000"/>
                <w:szCs w:val="20"/>
              </w:rPr>
            </w:pPr>
            <w:r w:rsidRPr="00C7420D">
              <w:rPr>
                <w:rFonts w:eastAsia="Times New Roman"/>
                <w:color w:val="000000"/>
                <w:szCs w:val="20"/>
              </w:rPr>
              <w:t>949</w:t>
            </w:r>
          </w:p>
        </w:tc>
        <w:tc>
          <w:tcPr>
            <w:tcW w:w="1386" w:type="dxa"/>
            <w:noWrap/>
            <w:vAlign w:val="bottom"/>
            <w:hideMark/>
          </w:tcPr>
          <w:p w14:paraId="7AC5898C" w14:textId="77777777" w:rsidR="003A7EA9" w:rsidRPr="00C7420D" w:rsidRDefault="003A7EA9">
            <w:pPr>
              <w:jc w:val="center"/>
              <w:rPr>
                <w:rFonts w:eastAsia="Times New Roman"/>
                <w:color w:val="000000"/>
                <w:szCs w:val="20"/>
              </w:rPr>
            </w:pPr>
            <w:r w:rsidRPr="00C7420D">
              <w:rPr>
                <w:rFonts w:eastAsia="Times New Roman"/>
                <w:color w:val="000000"/>
                <w:szCs w:val="20"/>
              </w:rPr>
              <w:t>4.10%</w:t>
            </w:r>
          </w:p>
        </w:tc>
        <w:tc>
          <w:tcPr>
            <w:tcW w:w="1386" w:type="dxa"/>
            <w:noWrap/>
            <w:vAlign w:val="bottom"/>
            <w:hideMark/>
          </w:tcPr>
          <w:p w14:paraId="073AA6D1" w14:textId="78E0C7C2" w:rsidR="003A7EA9" w:rsidRPr="00C7420D" w:rsidRDefault="003A7EA9">
            <w:pPr>
              <w:jc w:val="center"/>
              <w:rPr>
                <w:rFonts w:eastAsia="Times New Roman"/>
                <w:color w:val="000000"/>
                <w:szCs w:val="20"/>
              </w:rPr>
            </w:pPr>
            <w:r w:rsidRPr="00C7420D">
              <w:rPr>
                <w:rFonts w:eastAsia="Times New Roman"/>
                <w:color w:val="000000"/>
                <w:szCs w:val="20"/>
              </w:rPr>
              <w:t>3</w:t>
            </w:r>
            <w:r w:rsidR="005432E9">
              <w:rPr>
                <w:rFonts w:eastAsia="Times New Roman"/>
                <w:color w:val="000000"/>
                <w:szCs w:val="20"/>
              </w:rPr>
              <w:t>,</w:t>
            </w:r>
            <w:r w:rsidRPr="00C7420D">
              <w:rPr>
                <w:rFonts w:eastAsia="Times New Roman"/>
                <w:color w:val="000000"/>
                <w:szCs w:val="20"/>
              </w:rPr>
              <w:t>592</w:t>
            </w:r>
          </w:p>
        </w:tc>
        <w:tc>
          <w:tcPr>
            <w:tcW w:w="1386" w:type="dxa"/>
            <w:noWrap/>
            <w:vAlign w:val="bottom"/>
            <w:hideMark/>
          </w:tcPr>
          <w:p w14:paraId="701E4337" w14:textId="77777777" w:rsidR="003A7EA9" w:rsidRPr="00C7420D" w:rsidRDefault="003A7EA9">
            <w:pPr>
              <w:jc w:val="center"/>
              <w:rPr>
                <w:rFonts w:eastAsia="Times New Roman"/>
                <w:color w:val="000000"/>
                <w:szCs w:val="20"/>
              </w:rPr>
            </w:pPr>
            <w:r w:rsidRPr="00C7420D">
              <w:rPr>
                <w:rFonts w:eastAsia="Times New Roman"/>
                <w:color w:val="000000"/>
                <w:szCs w:val="20"/>
              </w:rPr>
              <w:t>21.70%</w:t>
            </w:r>
          </w:p>
        </w:tc>
        <w:tc>
          <w:tcPr>
            <w:tcW w:w="1386" w:type="dxa"/>
            <w:noWrap/>
            <w:vAlign w:val="bottom"/>
            <w:hideMark/>
          </w:tcPr>
          <w:p w14:paraId="54058406" w14:textId="77777777" w:rsidR="003A7EA9" w:rsidRPr="00C7420D" w:rsidRDefault="003A7EA9">
            <w:pPr>
              <w:jc w:val="center"/>
              <w:rPr>
                <w:rFonts w:eastAsia="Times New Roman"/>
                <w:color w:val="000000"/>
                <w:szCs w:val="20"/>
              </w:rPr>
            </w:pPr>
            <w:r w:rsidRPr="00C7420D">
              <w:rPr>
                <w:rFonts w:eastAsia="Times New Roman"/>
                <w:color w:val="000000"/>
                <w:szCs w:val="20"/>
              </w:rPr>
              <w:t>11.50%</w:t>
            </w:r>
          </w:p>
        </w:tc>
      </w:tr>
      <w:tr w:rsidR="003A7EA9" w:rsidRPr="00C7420D" w14:paraId="5E327DF6" w14:textId="77777777" w:rsidTr="0016087B">
        <w:trPr>
          <w:trHeight w:val="289"/>
        </w:trPr>
        <w:tc>
          <w:tcPr>
            <w:tcW w:w="2700" w:type="dxa"/>
            <w:noWrap/>
            <w:vAlign w:val="bottom"/>
            <w:hideMark/>
          </w:tcPr>
          <w:p w14:paraId="0174688F" w14:textId="77777777" w:rsidR="003A7EA9" w:rsidRPr="00C7420D" w:rsidRDefault="003A7EA9">
            <w:pPr>
              <w:rPr>
                <w:rFonts w:eastAsia="Times New Roman"/>
                <w:color w:val="000000"/>
                <w:szCs w:val="20"/>
              </w:rPr>
            </w:pPr>
            <w:r w:rsidRPr="00C7420D">
              <w:rPr>
                <w:rFonts w:eastAsia="Times New Roman"/>
                <w:color w:val="000000"/>
                <w:szCs w:val="20"/>
              </w:rPr>
              <w:t>Working or seeking work</w:t>
            </w:r>
          </w:p>
        </w:tc>
        <w:tc>
          <w:tcPr>
            <w:tcW w:w="1386" w:type="dxa"/>
            <w:noWrap/>
            <w:vAlign w:val="bottom"/>
            <w:hideMark/>
          </w:tcPr>
          <w:p w14:paraId="69DBF303" w14:textId="0E22A6CF" w:rsidR="003A7EA9" w:rsidRPr="00C7420D" w:rsidRDefault="003A7EA9">
            <w:pPr>
              <w:jc w:val="center"/>
              <w:rPr>
                <w:rFonts w:eastAsia="Times New Roman"/>
                <w:color w:val="000000"/>
                <w:szCs w:val="20"/>
              </w:rPr>
            </w:pPr>
            <w:r w:rsidRPr="00C7420D">
              <w:rPr>
                <w:rFonts w:eastAsia="Times New Roman"/>
                <w:color w:val="000000"/>
                <w:szCs w:val="20"/>
              </w:rPr>
              <w:t>5</w:t>
            </w:r>
            <w:r w:rsidR="005432E9">
              <w:rPr>
                <w:rFonts w:eastAsia="Times New Roman"/>
                <w:color w:val="000000"/>
                <w:szCs w:val="20"/>
              </w:rPr>
              <w:t>,</w:t>
            </w:r>
            <w:r w:rsidRPr="00C7420D">
              <w:rPr>
                <w:rFonts w:eastAsia="Times New Roman"/>
                <w:color w:val="000000"/>
                <w:szCs w:val="20"/>
              </w:rPr>
              <w:t>348</w:t>
            </w:r>
          </w:p>
        </w:tc>
        <w:tc>
          <w:tcPr>
            <w:tcW w:w="1386" w:type="dxa"/>
            <w:noWrap/>
            <w:vAlign w:val="bottom"/>
            <w:hideMark/>
          </w:tcPr>
          <w:p w14:paraId="3606BBB8" w14:textId="77777777" w:rsidR="003A7EA9" w:rsidRPr="00C7420D" w:rsidRDefault="003A7EA9">
            <w:pPr>
              <w:jc w:val="center"/>
              <w:rPr>
                <w:rFonts w:eastAsia="Times New Roman"/>
                <w:color w:val="000000"/>
                <w:szCs w:val="20"/>
              </w:rPr>
            </w:pPr>
            <w:r w:rsidRPr="00C7420D">
              <w:rPr>
                <w:rFonts w:eastAsia="Times New Roman"/>
                <w:color w:val="000000"/>
                <w:szCs w:val="20"/>
              </w:rPr>
              <w:t>23.30%</w:t>
            </w:r>
          </w:p>
        </w:tc>
        <w:tc>
          <w:tcPr>
            <w:tcW w:w="1386" w:type="dxa"/>
            <w:noWrap/>
            <w:vAlign w:val="bottom"/>
            <w:hideMark/>
          </w:tcPr>
          <w:p w14:paraId="3B5C49ED" w14:textId="2176908B" w:rsidR="003A7EA9" w:rsidRPr="00C7420D" w:rsidRDefault="003A7EA9">
            <w:pPr>
              <w:jc w:val="center"/>
              <w:rPr>
                <w:rFonts w:eastAsia="Times New Roman"/>
                <w:color w:val="000000"/>
                <w:szCs w:val="20"/>
              </w:rPr>
            </w:pPr>
            <w:r w:rsidRPr="00C7420D">
              <w:rPr>
                <w:rFonts w:eastAsia="Times New Roman"/>
                <w:color w:val="000000"/>
                <w:szCs w:val="20"/>
              </w:rPr>
              <w:t>9</w:t>
            </w:r>
            <w:r w:rsidR="005432E9">
              <w:rPr>
                <w:rFonts w:eastAsia="Times New Roman"/>
                <w:color w:val="000000"/>
                <w:szCs w:val="20"/>
              </w:rPr>
              <w:t>,</w:t>
            </w:r>
            <w:r w:rsidRPr="00C7420D">
              <w:rPr>
                <w:rFonts w:eastAsia="Times New Roman"/>
                <w:color w:val="000000"/>
                <w:szCs w:val="20"/>
              </w:rPr>
              <w:t>070</w:t>
            </w:r>
          </w:p>
        </w:tc>
        <w:tc>
          <w:tcPr>
            <w:tcW w:w="1386" w:type="dxa"/>
            <w:noWrap/>
            <w:vAlign w:val="bottom"/>
            <w:hideMark/>
          </w:tcPr>
          <w:p w14:paraId="5E8CD8E5" w14:textId="77777777" w:rsidR="003A7EA9" w:rsidRPr="00C7420D" w:rsidRDefault="003A7EA9">
            <w:pPr>
              <w:jc w:val="center"/>
              <w:rPr>
                <w:rFonts w:eastAsia="Times New Roman"/>
                <w:color w:val="000000"/>
                <w:szCs w:val="20"/>
              </w:rPr>
            </w:pPr>
            <w:r w:rsidRPr="00C7420D">
              <w:rPr>
                <w:rFonts w:eastAsia="Times New Roman"/>
                <w:color w:val="000000"/>
                <w:szCs w:val="20"/>
              </w:rPr>
              <w:t>54.90%</w:t>
            </w:r>
          </w:p>
        </w:tc>
        <w:tc>
          <w:tcPr>
            <w:tcW w:w="1386" w:type="dxa"/>
            <w:noWrap/>
            <w:vAlign w:val="bottom"/>
            <w:hideMark/>
          </w:tcPr>
          <w:p w14:paraId="5C69B430" w14:textId="77777777" w:rsidR="003A7EA9" w:rsidRPr="00C7420D" w:rsidRDefault="003A7EA9">
            <w:pPr>
              <w:jc w:val="center"/>
              <w:rPr>
                <w:rFonts w:eastAsia="Times New Roman"/>
                <w:color w:val="000000"/>
                <w:szCs w:val="20"/>
              </w:rPr>
            </w:pPr>
            <w:r w:rsidRPr="00C7420D">
              <w:rPr>
                <w:rFonts w:eastAsia="Times New Roman"/>
                <w:color w:val="000000"/>
                <w:szCs w:val="20"/>
              </w:rPr>
              <w:t>36.50%</w:t>
            </w:r>
          </w:p>
        </w:tc>
      </w:tr>
      <w:tr w:rsidR="003A7EA9" w:rsidRPr="00C7420D" w14:paraId="1EEA9C29" w14:textId="77777777" w:rsidTr="0016087B">
        <w:trPr>
          <w:trHeight w:val="289"/>
        </w:trPr>
        <w:tc>
          <w:tcPr>
            <w:tcW w:w="2700" w:type="dxa"/>
            <w:tcBorders>
              <w:bottom w:val="single" w:sz="4" w:space="0" w:color="auto"/>
            </w:tcBorders>
            <w:noWrap/>
            <w:vAlign w:val="bottom"/>
            <w:hideMark/>
          </w:tcPr>
          <w:p w14:paraId="52172F1E" w14:textId="77777777" w:rsidR="003A7EA9" w:rsidRPr="00C7420D" w:rsidRDefault="003A7EA9">
            <w:pPr>
              <w:rPr>
                <w:rFonts w:eastAsia="Times New Roman"/>
                <w:color w:val="000000"/>
                <w:szCs w:val="20"/>
              </w:rPr>
            </w:pPr>
            <w:r w:rsidRPr="00C7420D">
              <w:rPr>
                <w:rFonts w:eastAsia="Times New Roman"/>
                <w:color w:val="000000"/>
                <w:szCs w:val="20"/>
              </w:rPr>
              <w:t>NILFET</w:t>
            </w:r>
          </w:p>
        </w:tc>
        <w:tc>
          <w:tcPr>
            <w:tcW w:w="1386" w:type="dxa"/>
            <w:tcBorders>
              <w:bottom w:val="single" w:sz="4" w:space="0" w:color="auto"/>
            </w:tcBorders>
            <w:noWrap/>
            <w:vAlign w:val="bottom"/>
            <w:hideMark/>
          </w:tcPr>
          <w:p w14:paraId="5E776930" w14:textId="77777777" w:rsidR="003A7EA9" w:rsidRPr="00C7420D" w:rsidRDefault="003A7EA9">
            <w:pPr>
              <w:jc w:val="center"/>
              <w:rPr>
                <w:rFonts w:eastAsia="Times New Roman"/>
                <w:color w:val="000000"/>
                <w:szCs w:val="20"/>
              </w:rPr>
            </w:pPr>
            <w:r w:rsidRPr="00C7420D">
              <w:rPr>
                <w:rFonts w:eastAsia="Times New Roman"/>
                <w:color w:val="000000"/>
                <w:szCs w:val="20"/>
              </w:rPr>
              <w:t>287</w:t>
            </w:r>
          </w:p>
        </w:tc>
        <w:tc>
          <w:tcPr>
            <w:tcW w:w="1386" w:type="dxa"/>
            <w:tcBorders>
              <w:bottom w:val="single" w:sz="4" w:space="0" w:color="auto"/>
            </w:tcBorders>
            <w:noWrap/>
            <w:vAlign w:val="bottom"/>
            <w:hideMark/>
          </w:tcPr>
          <w:p w14:paraId="260B47BB" w14:textId="77777777" w:rsidR="003A7EA9" w:rsidRPr="00C7420D" w:rsidRDefault="003A7EA9">
            <w:pPr>
              <w:jc w:val="center"/>
              <w:rPr>
                <w:rFonts w:eastAsia="Times New Roman"/>
                <w:color w:val="000000"/>
                <w:szCs w:val="20"/>
              </w:rPr>
            </w:pPr>
            <w:r w:rsidRPr="00C7420D">
              <w:rPr>
                <w:rFonts w:eastAsia="Times New Roman"/>
                <w:color w:val="000000"/>
                <w:szCs w:val="20"/>
              </w:rPr>
              <w:t>1.20%</w:t>
            </w:r>
          </w:p>
        </w:tc>
        <w:tc>
          <w:tcPr>
            <w:tcW w:w="1386" w:type="dxa"/>
            <w:tcBorders>
              <w:bottom w:val="single" w:sz="4" w:space="0" w:color="auto"/>
            </w:tcBorders>
            <w:noWrap/>
            <w:vAlign w:val="bottom"/>
            <w:hideMark/>
          </w:tcPr>
          <w:p w14:paraId="19CB9CFD" w14:textId="77777777" w:rsidR="003A7EA9" w:rsidRPr="00C7420D" w:rsidRDefault="003A7EA9">
            <w:pPr>
              <w:jc w:val="center"/>
              <w:rPr>
                <w:rFonts w:eastAsia="Times New Roman"/>
                <w:color w:val="000000"/>
                <w:szCs w:val="20"/>
              </w:rPr>
            </w:pPr>
            <w:r w:rsidRPr="00C7420D">
              <w:rPr>
                <w:rFonts w:eastAsia="Times New Roman"/>
                <w:color w:val="000000"/>
                <w:szCs w:val="20"/>
              </w:rPr>
              <w:t>851</w:t>
            </w:r>
          </w:p>
        </w:tc>
        <w:tc>
          <w:tcPr>
            <w:tcW w:w="1386" w:type="dxa"/>
            <w:tcBorders>
              <w:bottom w:val="single" w:sz="4" w:space="0" w:color="auto"/>
            </w:tcBorders>
            <w:noWrap/>
            <w:vAlign w:val="bottom"/>
            <w:hideMark/>
          </w:tcPr>
          <w:p w14:paraId="33525766" w14:textId="77777777" w:rsidR="003A7EA9" w:rsidRPr="00C7420D" w:rsidRDefault="003A7EA9">
            <w:pPr>
              <w:jc w:val="center"/>
              <w:rPr>
                <w:rFonts w:eastAsia="Times New Roman"/>
                <w:color w:val="000000"/>
                <w:szCs w:val="20"/>
              </w:rPr>
            </w:pPr>
            <w:r w:rsidRPr="00C7420D">
              <w:rPr>
                <w:rFonts w:eastAsia="Times New Roman"/>
                <w:color w:val="000000"/>
                <w:szCs w:val="20"/>
              </w:rPr>
              <w:t>5.20%</w:t>
            </w:r>
          </w:p>
        </w:tc>
        <w:tc>
          <w:tcPr>
            <w:tcW w:w="1386" w:type="dxa"/>
            <w:tcBorders>
              <w:bottom w:val="single" w:sz="4" w:space="0" w:color="auto"/>
            </w:tcBorders>
            <w:noWrap/>
            <w:vAlign w:val="bottom"/>
            <w:hideMark/>
          </w:tcPr>
          <w:p w14:paraId="78EFB473" w14:textId="77777777" w:rsidR="003A7EA9" w:rsidRPr="00C7420D" w:rsidRDefault="003A7EA9">
            <w:pPr>
              <w:jc w:val="center"/>
              <w:rPr>
                <w:rFonts w:eastAsia="Times New Roman"/>
                <w:color w:val="000000"/>
                <w:szCs w:val="20"/>
              </w:rPr>
            </w:pPr>
            <w:r w:rsidRPr="00C7420D">
              <w:rPr>
                <w:rFonts w:eastAsia="Times New Roman"/>
                <w:color w:val="000000"/>
                <w:szCs w:val="20"/>
              </w:rPr>
              <w:t>2.90%</w:t>
            </w:r>
          </w:p>
        </w:tc>
      </w:tr>
      <w:tr w:rsidR="003A7EA9" w:rsidRPr="00C7420D" w14:paraId="06F12ECB" w14:textId="77777777" w:rsidTr="0016087B">
        <w:trPr>
          <w:trHeight w:val="289"/>
        </w:trPr>
        <w:tc>
          <w:tcPr>
            <w:tcW w:w="2700" w:type="dxa"/>
            <w:tcBorders>
              <w:top w:val="single" w:sz="4" w:space="0" w:color="auto"/>
              <w:bottom w:val="single" w:sz="4" w:space="0" w:color="auto"/>
            </w:tcBorders>
            <w:noWrap/>
            <w:vAlign w:val="bottom"/>
            <w:hideMark/>
          </w:tcPr>
          <w:p w14:paraId="29759874" w14:textId="77777777" w:rsidR="003A7EA9" w:rsidRPr="00C7420D" w:rsidRDefault="003A7EA9">
            <w:pPr>
              <w:rPr>
                <w:rFonts w:eastAsia="Times New Roman"/>
                <w:color w:val="000000"/>
                <w:szCs w:val="20"/>
              </w:rPr>
            </w:pPr>
            <w:r w:rsidRPr="00C7420D">
              <w:rPr>
                <w:rFonts w:eastAsia="Times New Roman"/>
                <w:color w:val="000000"/>
                <w:szCs w:val="20"/>
              </w:rPr>
              <w:t>Total</w:t>
            </w:r>
          </w:p>
        </w:tc>
        <w:tc>
          <w:tcPr>
            <w:tcW w:w="1386" w:type="dxa"/>
            <w:tcBorders>
              <w:top w:val="single" w:sz="4" w:space="0" w:color="auto"/>
              <w:bottom w:val="single" w:sz="4" w:space="0" w:color="auto"/>
            </w:tcBorders>
            <w:noWrap/>
            <w:vAlign w:val="bottom"/>
            <w:hideMark/>
          </w:tcPr>
          <w:p w14:paraId="1F665F87" w14:textId="77777777" w:rsidR="003A7EA9" w:rsidRPr="00C7420D" w:rsidRDefault="003A7EA9">
            <w:pPr>
              <w:jc w:val="center"/>
              <w:rPr>
                <w:rFonts w:eastAsia="Times New Roman"/>
                <w:color w:val="000000"/>
                <w:szCs w:val="20"/>
              </w:rPr>
            </w:pPr>
            <w:r w:rsidRPr="00C7420D">
              <w:rPr>
                <w:rFonts w:eastAsia="Times New Roman"/>
                <w:color w:val="000000"/>
                <w:szCs w:val="20"/>
              </w:rPr>
              <w:t>23,006</w:t>
            </w:r>
          </w:p>
        </w:tc>
        <w:tc>
          <w:tcPr>
            <w:tcW w:w="1386" w:type="dxa"/>
            <w:tcBorders>
              <w:top w:val="single" w:sz="4" w:space="0" w:color="auto"/>
              <w:bottom w:val="single" w:sz="4" w:space="0" w:color="auto"/>
            </w:tcBorders>
            <w:noWrap/>
            <w:vAlign w:val="bottom"/>
            <w:hideMark/>
          </w:tcPr>
          <w:p w14:paraId="356B792A" w14:textId="77777777" w:rsidR="003A7EA9" w:rsidRPr="00C7420D" w:rsidRDefault="003A7EA9">
            <w:pPr>
              <w:jc w:val="center"/>
              <w:rPr>
                <w:rFonts w:eastAsia="Times New Roman"/>
                <w:color w:val="000000"/>
                <w:szCs w:val="20"/>
              </w:rPr>
            </w:pPr>
            <w:r w:rsidRPr="00C7420D">
              <w:rPr>
                <w:rFonts w:eastAsia="Times New Roman"/>
                <w:color w:val="000000"/>
                <w:szCs w:val="20"/>
              </w:rPr>
              <w:t>100%</w:t>
            </w:r>
          </w:p>
        </w:tc>
        <w:tc>
          <w:tcPr>
            <w:tcW w:w="1386" w:type="dxa"/>
            <w:tcBorders>
              <w:top w:val="single" w:sz="4" w:space="0" w:color="auto"/>
              <w:bottom w:val="single" w:sz="4" w:space="0" w:color="auto"/>
            </w:tcBorders>
            <w:noWrap/>
            <w:vAlign w:val="bottom"/>
            <w:hideMark/>
          </w:tcPr>
          <w:p w14:paraId="7713FFCB" w14:textId="77777777" w:rsidR="003A7EA9" w:rsidRPr="00C7420D" w:rsidRDefault="003A7EA9">
            <w:pPr>
              <w:jc w:val="center"/>
              <w:rPr>
                <w:rFonts w:eastAsia="Times New Roman"/>
                <w:color w:val="000000"/>
                <w:szCs w:val="20"/>
              </w:rPr>
            </w:pPr>
            <w:r w:rsidRPr="00C7420D">
              <w:rPr>
                <w:rFonts w:eastAsia="Times New Roman"/>
                <w:color w:val="000000"/>
                <w:szCs w:val="20"/>
              </w:rPr>
              <w:t>16,510</w:t>
            </w:r>
          </w:p>
        </w:tc>
        <w:tc>
          <w:tcPr>
            <w:tcW w:w="1386" w:type="dxa"/>
            <w:tcBorders>
              <w:top w:val="single" w:sz="4" w:space="0" w:color="auto"/>
              <w:bottom w:val="single" w:sz="4" w:space="0" w:color="auto"/>
            </w:tcBorders>
            <w:noWrap/>
            <w:vAlign w:val="bottom"/>
            <w:hideMark/>
          </w:tcPr>
          <w:p w14:paraId="55491025" w14:textId="77777777" w:rsidR="003A7EA9" w:rsidRPr="00C7420D" w:rsidRDefault="003A7EA9">
            <w:pPr>
              <w:jc w:val="center"/>
              <w:rPr>
                <w:rFonts w:eastAsia="Times New Roman"/>
                <w:color w:val="000000"/>
                <w:szCs w:val="20"/>
              </w:rPr>
            </w:pPr>
            <w:r w:rsidRPr="00C7420D">
              <w:rPr>
                <w:rFonts w:eastAsia="Times New Roman"/>
                <w:color w:val="000000"/>
                <w:szCs w:val="20"/>
              </w:rPr>
              <w:t>100%</w:t>
            </w:r>
          </w:p>
        </w:tc>
        <w:tc>
          <w:tcPr>
            <w:tcW w:w="1386" w:type="dxa"/>
            <w:tcBorders>
              <w:top w:val="single" w:sz="4" w:space="0" w:color="auto"/>
              <w:bottom w:val="single" w:sz="4" w:space="0" w:color="auto"/>
            </w:tcBorders>
            <w:noWrap/>
            <w:vAlign w:val="bottom"/>
            <w:hideMark/>
          </w:tcPr>
          <w:p w14:paraId="6EFD4FF4" w14:textId="77777777" w:rsidR="003A7EA9" w:rsidRPr="00C7420D" w:rsidRDefault="003A7EA9">
            <w:pPr>
              <w:jc w:val="center"/>
              <w:rPr>
                <w:rFonts w:eastAsia="Times New Roman"/>
                <w:color w:val="000000"/>
                <w:szCs w:val="20"/>
              </w:rPr>
            </w:pPr>
            <w:r w:rsidRPr="00C7420D">
              <w:rPr>
                <w:rFonts w:eastAsia="Times New Roman"/>
                <w:color w:val="000000"/>
                <w:szCs w:val="20"/>
              </w:rPr>
              <w:t>100%</w:t>
            </w:r>
          </w:p>
        </w:tc>
      </w:tr>
    </w:tbl>
    <w:p w14:paraId="6D9CCBA1" w14:textId="073A1DDB" w:rsidR="003A7EA9" w:rsidRPr="00953546" w:rsidRDefault="003A7EA9" w:rsidP="009051D3">
      <w:pPr>
        <w:pStyle w:val="JANZSSABodyCopy10pt"/>
      </w:pPr>
      <w:r w:rsidRPr="00953546">
        <w:t>(Queensland Department of Education, 2023)</w:t>
      </w:r>
    </w:p>
    <w:p w14:paraId="333CCDEF" w14:textId="39E75152" w:rsidR="003A7EA9" w:rsidRPr="00423E24" w:rsidRDefault="003A7EA9" w:rsidP="0081269C">
      <w:pPr>
        <w:pStyle w:val="JANZSSABodycopy"/>
        <w:spacing w:before="240"/>
        <w:rPr>
          <w:rFonts w:eastAsiaTheme="minorEastAsia"/>
        </w:rPr>
      </w:pPr>
      <w:r w:rsidRPr="00B36350">
        <w:t>While no systematic analysis has been conducted to formally identify any correlations between low SES students and ATAR pathways, some data suggest that low SES students may be over-represented within non-ATAR streams. For example,</w:t>
      </w:r>
      <w:r w:rsidRPr="00F43C0D">
        <w:t xml:space="preserve"> </w:t>
      </w:r>
      <w:r w:rsidRPr="00B36350">
        <w:t>Next Step survey data for Logan, an urban area in the lowest socioeconomic quartile of Queensland</w:t>
      </w:r>
      <w:r>
        <w:t>,</w:t>
      </w:r>
      <w:r w:rsidRPr="00F43C0D">
        <w:t xml:space="preserve"> which also includes the highest proportion of Māori and Pasifika people of any local government area in Australia, indicated 57 per cent of survey respondents undertook non-ATAR pathways </w:t>
      </w:r>
      <w:r w:rsidRPr="00F43C0D">
        <w:rPr>
          <w:rFonts w:eastAsiaTheme="minorEastAsia"/>
        </w:rPr>
        <w:t>(Queensland Department of Education, 2023)</w:t>
      </w:r>
      <w:r w:rsidRPr="00F43C0D">
        <w:t xml:space="preserve">. </w:t>
      </w:r>
    </w:p>
    <w:p w14:paraId="3EB519C6" w14:textId="77777777" w:rsidR="003A7EA9" w:rsidRPr="00423E24" w:rsidRDefault="003A7EA9" w:rsidP="00241DDA">
      <w:pPr>
        <w:pStyle w:val="JANZSSAHeading3"/>
      </w:pPr>
      <w:r w:rsidRPr="00423E24">
        <w:t>Victoria</w:t>
      </w:r>
    </w:p>
    <w:p w14:paraId="44AA9380" w14:textId="604A394E" w:rsidR="003A7EA9" w:rsidRPr="00423E24" w:rsidRDefault="003A7EA9" w:rsidP="009051D3">
      <w:pPr>
        <w:pStyle w:val="JANZSSABodycopy"/>
      </w:pPr>
      <w:r w:rsidRPr="00CB69E1">
        <w:t>Of the 63,298 Victorian Year 12</w:t>
      </w:r>
      <w:r w:rsidRPr="00423E24">
        <w:t xml:space="preserve"> students of 2021, 13</w:t>
      </w:r>
      <w:r>
        <w:t>,</w:t>
      </w:r>
      <w:r w:rsidRPr="00423E24">
        <w:t>701 (22</w:t>
      </w:r>
      <w:r w:rsidR="00C106B5">
        <w:t xml:space="preserve"> per cent</w:t>
      </w:r>
      <w:r w:rsidRPr="00423E24">
        <w:t xml:space="preserve">) completed the On Track survey (Victorian Department of Education, 2023c). Of the 628 Indigenous Year 12 students that year </w:t>
      </w:r>
      <w:r w:rsidR="00EC0A1E">
        <w:t>(</w:t>
      </w:r>
      <w:r w:rsidRPr="00423E24">
        <w:t>First Peoples - State Relations, 2024), 47</w:t>
      </w:r>
      <w:r w:rsidR="00C106B5">
        <w:t xml:space="preserve"> per cent</w:t>
      </w:r>
      <w:r w:rsidRPr="00423E24">
        <w:t xml:space="preserve"> responded to the survey (Victorian Department of Education, 2023b). Given the lower survey response rates, results require more cautious treatment than the Queensland data. Indeed, one question raised by our analysis is why postsecondary data remain so poor nationally, with only two states operating surveys and only one of those receiving strong response rates. Importantly also, this Victorian survey was conducted before the transition away from VCAL. Nevertheless, results are notable in showing the divisions between academic and vocational pathways.  </w:t>
      </w:r>
    </w:p>
    <w:p w14:paraId="5EE975C8" w14:textId="641C87A1" w:rsidR="003A7EA9" w:rsidRPr="00423E24" w:rsidRDefault="003A7EA9" w:rsidP="009051D3">
      <w:pPr>
        <w:pStyle w:val="JANZSSABodycopy"/>
      </w:pPr>
      <w:r w:rsidRPr="00423E24">
        <w:t>On Track survey</w:t>
      </w:r>
      <w:r w:rsidR="00D92F89">
        <w:t>s completed in</w:t>
      </w:r>
      <w:r w:rsidRPr="00423E24">
        <w:t xml:space="preserve"> 2022 suggest that most VCAL completers pursued VET, apprenticeships, or direct employment pathways. Fewer than </w:t>
      </w:r>
      <w:r w:rsidRPr="00F0311A">
        <w:t>one</w:t>
      </w:r>
      <w:r w:rsidRPr="00423E24">
        <w:t xml:space="preserve"> per cent of VCAL respondents continued directly on</w:t>
      </w:r>
      <w:r w:rsidR="007E4376">
        <w:t xml:space="preserve"> </w:t>
      </w:r>
      <w:r w:rsidRPr="00423E24">
        <w:t>to university. Given this stream included nearly half of the Indigenous Year 12 students and high proportions of low SES and other marginalised students, the flow-on effect to higher education participation and equity is likely to be significant. The survey showed that 29</w:t>
      </w:r>
      <w:r w:rsidR="00C106B5">
        <w:t xml:space="preserve"> per cent</w:t>
      </w:r>
      <w:r w:rsidRPr="00423E24">
        <w:t xml:space="preserve"> of Indigenous </w:t>
      </w:r>
      <w:r w:rsidR="007E4376">
        <w:t>Y</w:t>
      </w:r>
      <w:r w:rsidRPr="00423E24">
        <w:t xml:space="preserve">ear 12 completers who completed the VCE VET pathway went on to enrol in a </w:t>
      </w:r>
      <w:proofErr w:type="gramStart"/>
      <w:r w:rsidRPr="00423E24">
        <w:t>Bachelor</w:t>
      </w:r>
      <w:proofErr w:type="gramEnd"/>
      <w:r w:rsidRPr="00423E24">
        <w:t xml:space="preserve"> degree</w:t>
      </w:r>
      <w:r w:rsidR="007E4376">
        <w:t>,</w:t>
      </w:r>
      <w:r w:rsidRPr="00423E24">
        <w:t xml:space="preserve"> compared to 40</w:t>
      </w:r>
      <w:r w:rsidR="00C106B5">
        <w:t xml:space="preserve"> per cent</w:t>
      </w:r>
      <w:r w:rsidRPr="00423E24">
        <w:t xml:space="preserve"> of non-Indigenous students (Victorian Department of Education, 2023a). Only 42.2</w:t>
      </w:r>
      <w:r w:rsidR="00C106B5">
        <w:t xml:space="preserve"> per cent</w:t>
      </w:r>
      <w:r w:rsidRPr="00423E24">
        <w:t xml:space="preserve"> of Indigenous student survey respondents who undertook the ATAR stream (VCE non-VET) enrolled in a </w:t>
      </w:r>
      <w:proofErr w:type="gramStart"/>
      <w:r w:rsidRPr="00423E24">
        <w:t>Bachelor</w:t>
      </w:r>
      <w:proofErr w:type="gramEnd"/>
      <w:r w:rsidRPr="00423E24">
        <w:t xml:space="preserve"> degree</w:t>
      </w:r>
      <w:r w:rsidR="007E4376">
        <w:t>,</w:t>
      </w:r>
      <w:r w:rsidRPr="00423E24">
        <w:t xml:space="preserve"> compared with 63.2</w:t>
      </w:r>
      <w:r w:rsidR="00C106B5">
        <w:t xml:space="preserve"> per cent</w:t>
      </w:r>
      <w:r w:rsidRPr="00423E24">
        <w:t xml:space="preserve"> of non-Indigenous survey respondents (Victorian Department of Education, 2023a). The Firth </w:t>
      </w:r>
      <w:r w:rsidR="007E4376">
        <w:t>R</w:t>
      </w:r>
      <w:r w:rsidRPr="00423E24">
        <w:t xml:space="preserve">eview </w:t>
      </w:r>
      <w:r w:rsidRPr="00423E24">
        <w:lastRenderedPageBreak/>
        <w:t>identi</w:t>
      </w:r>
      <w:r w:rsidRPr="005656BB">
        <w:t>fied n</w:t>
      </w:r>
      <w:r w:rsidRPr="00423E24">
        <w:t xml:space="preserve">umerous weaknesses within VCAL (Firth, 2020) and the new certificate structures are designed to address many of these issues and improve student choice. </w:t>
      </w:r>
    </w:p>
    <w:p w14:paraId="3D586328" w14:textId="77777777" w:rsidR="003A7EA9" w:rsidRPr="00423E24" w:rsidRDefault="003A7EA9" w:rsidP="009051D3">
      <w:pPr>
        <w:pStyle w:val="JANZSSAHeading1"/>
      </w:pPr>
      <w:r w:rsidRPr="00423E24">
        <w:t>Discussion</w:t>
      </w:r>
    </w:p>
    <w:p w14:paraId="02E0C5C9" w14:textId="66B91FF7" w:rsidR="003A7EA9" w:rsidRPr="00423E24" w:rsidRDefault="003A7EA9" w:rsidP="009051D3">
      <w:pPr>
        <w:pStyle w:val="JANZSSABodycopy"/>
      </w:pPr>
      <w:r w:rsidRPr="00423E24">
        <w:t>Vocational streams in school are designed to increase student choice and to lead primarily to postsecondary pathways such as apprenticeships, direct employment, and further VET study. The introduction of such streams has coincided with a rise in senior school completion rates and provided more subject options for students with both academic and vocational aspirations. Nevertheless, there is a need to interrogate the influences upon student choice and the broader postsecondary outcomes that result from the widespread practice of streaming. Research suggests a need for growing mobility between vocational and higher education sectors and a need for an increase in university graduates to meet future skills needs (</w:t>
      </w:r>
      <w:r w:rsidR="00E6109C" w:rsidRPr="00E6109C">
        <w:t>Department of Education</w:t>
      </w:r>
      <w:r w:rsidRPr="00423E24">
        <w:t>, 202</w:t>
      </w:r>
      <w:r w:rsidR="00E6109C">
        <w:t>4</w:t>
      </w:r>
      <w:r w:rsidRPr="00423E24">
        <w:t>). From a student perspective, higher education graduates also continue to command a substantial lifetime wage premium over other workers (OECD, 2025) notwithstanding well-documented skills shortages (</w:t>
      </w:r>
      <w:r w:rsidR="00251DF2" w:rsidRPr="00251DF2">
        <w:t>Jobs and Skills Australia</w:t>
      </w:r>
      <w:r w:rsidRPr="00423E24">
        <w:t xml:space="preserve">, </w:t>
      </w:r>
      <w:r w:rsidR="00251DF2">
        <w:t>2025</w:t>
      </w:r>
      <w:r w:rsidRPr="00423E24">
        <w:t>)</w:t>
      </w:r>
      <w:r>
        <w:t>.</w:t>
      </w:r>
      <w:r w:rsidRPr="00423E24">
        <w:t xml:space="preserve"> It is thus important that university remains an accessible option to secondary students regardless of their career aspirations in Year 10, the point at which most streaming decision</w:t>
      </w:r>
      <w:r w:rsidR="007572C9">
        <w:t>s</w:t>
      </w:r>
      <w:r w:rsidRPr="00423E24">
        <w:t xml:space="preserve"> are made.  </w:t>
      </w:r>
    </w:p>
    <w:p w14:paraId="041051BE" w14:textId="00A08EE9" w:rsidR="003A7EA9" w:rsidRPr="00423E24" w:rsidRDefault="003A7EA9" w:rsidP="009051D3">
      <w:pPr>
        <w:pStyle w:val="JANZSSABodycopy"/>
      </w:pPr>
      <w:r w:rsidRPr="00423E24">
        <w:t>To support the university aspirations of non-ATAR students, a multitude of alternative entry pathways have been designed, including schedules that equate vocational certificates to ATARs (</w:t>
      </w:r>
      <w:r w:rsidR="003064D9" w:rsidRPr="00423E24">
        <w:t>T</w:t>
      </w:r>
      <w:r w:rsidR="003064D9">
        <w:t>AFE</w:t>
      </w:r>
      <w:r w:rsidR="003064D9" w:rsidRPr="00423E24">
        <w:t xml:space="preserve"> </w:t>
      </w:r>
      <w:r w:rsidRPr="00423E24">
        <w:t xml:space="preserve">Queensland, </w:t>
      </w:r>
      <w:r w:rsidR="005B281B">
        <w:t>n.d.</w:t>
      </w:r>
      <w:r w:rsidRPr="00423E24">
        <w:t xml:space="preserve">). However, our study confirms that a large proportion of Australian secondary school students are in non-ATAR streams, including high numbers of marginalised students, and that those streams are very unlikely to lead directly to university. </w:t>
      </w:r>
      <w:r w:rsidR="00BC4EF1">
        <w:t>Data show</w:t>
      </w:r>
      <w:r w:rsidRPr="00423E24">
        <w:t xml:space="preserve"> by ages 22–25, non-ATAR students are less likely to </w:t>
      </w:r>
      <w:r>
        <w:t xml:space="preserve">have </w:t>
      </w:r>
      <w:r w:rsidRPr="00423E24">
        <w:t>complete</w:t>
      </w:r>
      <w:r>
        <w:t>d a</w:t>
      </w:r>
      <w:r w:rsidRPr="00423E24">
        <w:t xml:space="preserve"> Certificate III or higher and less likely to </w:t>
      </w:r>
      <w:r>
        <w:t xml:space="preserve">have </w:t>
      </w:r>
      <w:r w:rsidRPr="00423E24">
        <w:t>attain</w:t>
      </w:r>
      <w:r>
        <w:t>ed</w:t>
      </w:r>
      <w:r w:rsidRPr="00423E24">
        <w:t xml:space="preserve"> Bachelor or higher qualifications compared to ATAR students (Misko et al., 2020).</w:t>
      </w:r>
      <w:r>
        <w:t xml:space="preserve"> </w:t>
      </w:r>
    </w:p>
    <w:p w14:paraId="011C8F77" w14:textId="77777777" w:rsidR="003A7EA9" w:rsidRPr="00423E24" w:rsidRDefault="003A7EA9" w:rsidP="009051D3">
      <w:pPr>
        <w:pStyle w:val="JANZSSABodycopy"/>
      </w:pPr>
      <w:r w:rsidRPr="00423E24">
        <w:t xml:space="preserve">Despite the proliferation of alternative university admission pathways, these pathways are not widely used by non-ATAR school </w:t>
      </w:r>
      <w:proofErr w:type="spellStart"/>
      <w:r w:rsidRPr="00423E24">
        <w:t>leavers</w:t>
      </w:r>
      <w:proofErr w:type="spellEnd"/>
      <w:r w:rsidRPr="00423E24">
        <w:t xml:space="preserve"> in their initial postsecondary transitions. Further, when students do enrol at university through non-ATAR pathways, they tend to record lower success and retention rates than ATAR-track students (Li et al., 2022), reflecting differences in curriculum and academic preparation. </w:t>
      </w:r>
    </w:p>
    <w:p w14:paraId="3FB87D7F" w14:textId="6E6B9E7A" w:rsidR="003A7EA9" w:rsidRPr="00423E24" w:rsidRDefault="003A7EA9" w:rsidP="009051D3">
      <w:pPr>
        <w:pStyle w:val="JANZSSABodycopy"/>
      </w:pPr>
      <w:r w:rsidRPr="00423E24">
        <w:t xml:space="preserve">Although streaming practices are common across states and territories, the extent and effects of this streaming vary substantially and reflect a federal system of curricular complexity (O’Connor et al., 2025). The correlation of non-ATAR study and non-university transition is consistent nationally, but there are important differences across states and territories and across demographic groups. We found </w:t>
      </w:r>
      <w:r>
        <w:t>substantial</w:t>
      </w:r>
      <w:r w:rsidRPr="00423E24">
        <w:t xml:space="preserve"> variation in the rates of streaming among states, with nearly half of senior </w:t>
      </w:r>
      <w:bookmarkStart w:id="2" w:name="_Hlk220505258"/>
      <w:r w:rsidRPr="00423E24">
        <w:t>Queensland</w:t>
      </w:r>
      <w:bookmarkEnd w:id="2"/>
      <w:r w:rsidRPr="00423E24">
        <w:t xml:space="preserve"> school students and an even higher proportion of students in Western Australia selecting non-ATAR tracks. While these differences remain under-explored, there are historic curriculum differences between ‘progressive’ and ‘conservative’ states (O’Connor et al., 2025) and, in the case of Western Australia and Queensland, distinctions as historically strong resource states with a focus on related employment and vocational training. Relatedly, over 50 per cent of secondary students in Queensland study some VET programs while in schools (National Centre for Vocational Education Research, 202</w:t>
      </w:r>
      <w:r w:rsidR="00C10032">
        <w:t>4</w:t>
      </w:r>
      <w:r w:rsidRPr="00423E24">
        <w:t xml:space="preserve">). There may also be more pragmatic reasons for streaming in a competitive education environment. Authors </w:t>
      </w:r>
      <w:r w:rsidRPr="005656BB">
        <w:t>have also argued</w:t>
      </w:r>
      <w:r w:rsidRPr="00423E24">
        <w:t xml:space="preserve"> that many West</w:t>
      </w:r>
      <w:r w:rsidR="00FE3594">
        <w:t>ern</w:t>
      </w:r>
      <w:r w:rsidRPr="00423E24">
        <w:t xml:space="preserve"> Australian schools set targets to increase median ATAR results and funnel low scoring students away from ATAR pathways to protect school ATAR rankings (Vernon, 2023), though this practice is also likely in other states. Whatever the system motivations for streaming, it is notable that Western Australia and Queensland record both the highest proportions of students in non-ATAR streams and the lowest rates of university participation of the mainland states (Queensland Tertiary Admissions </w:t>
      </w:r>
      <w:r w:rsidRPr="00423E24">
        <w:lastRenderedPageBreak/>
        <w:t>Centre, 202</w:t>
      </w:r>
      <w:r w:rsidR="00766B59">
        <w:t>3</w:t>
      </w:r>
      <w:r w:rsidRPr="00423E24">
        <w:t xml:space="preserve">; Western Australian Department of Education, 2023b). The current practices of streaming limit the potential for higher education growth, particularly in those states where non-ATAR streams are most prevalent. </w:t>
      </w:r>
    </w:p>
    <w:p w14:paraId="23B34157" w14:textId="42F66F5B" w:rsidR="003A7EA9" w:rsidRPr="00423E24" w:rsidRDefault="003A7EA9" w:rsidP="009051D3">
      <w:pPr>
        <w:pStyle w:val="JANZSSABodycopy"/>
      </w:pPr>
      <w:r w:rsidRPr="00423E24">
        <w:t>More than system growth, however, it is student equity within higher education that is curtailed by the effects of school streaming on postsecondary choices. Our analysis confirms that Indigenous students are studying in non-ATAR pathways at much higher rates than non-Indigenous students. Available Queensland data also reveal that low SES and RRR students a</w:t>
      </w:r>
      <w:r>
        <w:t>ppear to be</w:t>
      </w:r>
      <w:r w:rsidRPr="00423E24">
        <w:t xml:space="preserve"> more likely than others to select non-ATAR pathways (Delahunty, 2022; Krause et al., 2009; </w:t>
      </w:r>
      <w:r w:rsidRPr="00423E24">
        <w:rPr>
          <w:rFonts w:eastAsiaTheme="minorEastAsia"/>
        </w:rPr>
        <w:t>Queensland Department of Education, 2023</w:t>
      </w:r>
      <w:r w:rsidRPr="00423E24">
        <w:t>). Given the relationship between non-ATAR and non-university transition, substantial improvements in higher education equity are unlikely without reform of secondary school streaming. University participation of low SES, RRR, and Indigenous students has remained well below population parity since data were first collected in the late 1980s (Harvey et al., 2016)</w:t>
      </w:r>
      <w:r w:rsidR="00FE3594">
        <w:t>.</w:t>
      </w:r>
      <w:r w:rsidRPr="00423E24">
        <w:t xml:space="preserve"> </w:t>
      </w:r>
      <w:r w:rsidR="00FE3594">
        <w:t>T</w:t>
      </w:r>
      <w:r w:rsidRPr="00423E24">
        <w:t xml:space="preserve">his continuing under-representation largely reflects the way that students select ‘higher education’ and ‘vocational’ pathways within schools.  </w:t>
      </w:r>
    </w:p>
    <w:p w14:paraId="2EDE7A9A" w14:textId="0377E868" w:rsidR="003A7EA9" w:rsidRPr="00423E24" w:rsidRDefault="003A7EA9" w:rsidP="009051D3">
      <w:pPr>
        <w:pStyle w:val="JANZSSABodycopy"/>
      </w:pPr>
      <w:r w:rsidRPr="00423E24">
        <w:t>Little is known about the specific motivations of, and influences upon, students who choose ATAR or non-ATAR pathways in school. We have scarce qualitative data on the extent to which streaming decisions are the result of informed student choice</w:t>
      </w:r>
      <w:r w:rsidR="005C77A0">
        <w:t>. However,</w:t>
      </w:r>
      <w:r w:rsidRPr="00423E24">
        <w:t xml:space="preserve"> existing research sugges</w:t>
      </w:r>
      <w:r w:rsidRPr="005656BB">
        <w:t>ts</w:t>
      </w:r>
      <w:r w:rsidRPr="00423E24">
        <w:t xml:space="preserve"> that secondary students’ understanding of university pathways and admissions requirements is limited (Harvey et al., 2016), and that attainment of an ATAR is highly correlated with prior achievement in NAPLAN tests (Semo et al., 2024). More student-centred analysis is an important area of further research to be undertaken. Prior academic achievement and gender strongly influence streaming choice, with female students nearly twice as likely as male students to attain an ATAR (Semo et al., 2024). The gender gap is partly explained by workforce outcomes, with male VET completers receiving greater wage premiums than female VET completers (</w:t>
      </w:r>
      <w:r w:rsidR="00251DF2" w:rsidRPr="00251DF2">
        <w:t>Jobs and Skills Australia</w:t>
      </w:r>
      <w:r w:rsidRPr="00423E24">
        <w:t>,</w:t>
      </w:r>
      <w:r w:rsidR="00D9726C">
        <w:t xml:space="preserve"> </w:t>
      </w:r>
      <w:r w:rsidR="00851708">
        <w:t>n.d.</w:t>
      </w:r>
      <w:r w:rsidRPr="00423E24">
        <w:t>). Australian parental expectations and norms (e.</w:t>
      </w:r>
      <w:r>
        <w:t>g.</w:t>
      </w:r>
      <w:r w:rsidR="005C77A0">
        <w:t>,</w:t>
      </w:r>
      <w:r w:rsidRPr="00423E24">
        <w:t xml:space="preserve"> whether parents attended university), cultural expectations, teacher views, opportunity, awareness of options</w:t>
      </w:r>
      <w:r w:rsidR="005C77A0">
        <w:t>,</w:t>
      </w:r>
      <w:r w:rsidRPr="00423E24">
        <w:t xml:space="preserve"> and access to resources (James, 2000) are other factors affecting student choice. Students from low SES backgrounds and those living in RRR areas may also have less access to university from a financial and geographic perspective</w:t>
      </w:r>
      <w:r w:rsidR="005C77A0">
        <w:t>,</w:t>
      </w:r>
      <w:r w:rsidRPr="00423E24">
        <w:t xml:space="preserve"> which impacts decision making around career paths, regardless of academic ability (Devlin &amp; McKay, 2018; James, 2001). </w:t>
      </w:r>
    </w:p>
    <w:p w14:paraId="2812312D" w14:textId="6F084B9F" w:rsidR="003A7EA9" w:rsidRPr="00423E24" w:rsidRDefault="003A7EA9" w:rsidP="009051D3">
      <w:pPr>
        <w:pStyle w:val="JANZSSABodycopy"/>
      </w:pPr>
      <w:r w:rsidRPr="00423E24">
        <w:t>Once students select non-ATAR pathways, research sug</w:t>
      </w:r>
      <w:r w:rsidRPr="005656BB">
        <w:t>gests that teachers often have lower academic expectations of those students (Johnston et al., 2022; S</w:t>
      </w:r>
      <w:r w:rsidRPr="00423E24">
        <w:t xml:space="preserve">tevens &amp; Vermeersch, 2010). This argument </w:t>
      </w:r>
      <w:r w:rsidRPr="00E45B2A">
        <w:t>is f</w:t>
      </w:r>
      <w:r w:rsidRPr="00423E24">
        <w:t xml:space="preserve">urther advanced by the </w:t>
      </w:r>
      <w:r w:rsidRPr="00560016">
        <w:t>Behrendt Review</w:t>
      </w:r>
      <w:r w:rsidR="00E45B2A">
        <w:t>,</w:t>
      </w:r>
      <w:r w:rsidRPr="00423E24">
        <w:t xml:space="preserve"> which </w:t>
      </w:r>
      <w:r w:rsidRPr="005656BB">
        <w:t>found that</w:t>
      </w:r>
      <w:r w:rsidRPr="00423E24">
        <w:t xml:space="preserve"> Indigenous students are often steered towards VET qualifications (Behrendt et al., 2012). The </w:t>
      </w:r>
      <w:r w:rsidR="00E45B2A">
        <w:t>r</w:t>
      </w:r>
      <w:r w:rsidRPr="00423E24">
        <w:t>eview found that “many teachers have low expectations of Aboriginal and Torres Strait Islander students’ academic skill and potential, which can affect how students are taught and the options they are presented and may affect their aspirations to pursue higher ed</w:t>
      </w:r>
      <w:r w:rsidRPr="00246D8E">
        <w:t>ucation” (Behrendt et al</w:t>
      </w:r>
      <w:r w:rsidRPr="00423E24">
        <w:t xml:space="preserve">., 2012, p. 14). Further interrogation of streaming practices in schools, including their effect on postsecondary outcomes, Indigenous students, and other marginalised groups, is critical.  </w:t>
      </w:r>
    </w:p>
    <w:p w14:paraId="5CF54CE9" w14:textId="4E16F6B5" w:rsidR="003A7EA9" w:rsidRPr="00423E24" w:rsidRDefault="003A7EA9" w:rsidP="009051D3">
      <w:pPr>
        <w:pStyle w:val="JANZSSABodycopy"/>
      </w:pPr>
      <w:r w:rsidRPr="00423E24">
        <w:t xml:space="preserve">Another major finding of our study is the need for better and more transparent data. On transparency, one of the priority areas identified </w:t>
      </w:r>
      <w:r w:rsidR="00246D8E">
        <w:t>in</w:t>
      </w:r>
      <w:r w:rsidR="00246D8E" w:rsidRPr="00423E24">
        <w:t xml:space="preserve"> </w:t>
      </w:r>
      <w:r w:rsidRPr="00423E24">
        <w:t xml:space="preserve">the </w:t>
      </w:r>
      <w:r w:rsidR="00246D8E">
        <w:t>n</w:t>
      </w:r>
      <w:r w:rsidRPr="00423E24">
        <w:t xml:space="preserve">ational </w:t>
      </w:r>
      <w:r w:rsidRPr="00AF0D8F">
        <w:t>Closing the Gap</w:t>
      </w:r>
      <w:r w:rsidRPr="00423E24">
        <w:t xml:space="preserve"> repo</w:t>
      </w:r>
      <w:r w:rsidRPr="005656BB">
        <w:t>rt is t</w:t>
      </w:r>
      <w:r w:rsidRPr="00423E24">
        <w:t>o improve data collection and data sharing to enable Aboriginal and Torres Strait Islander communities to make informed decisions and engage in policy consultations (Australian Government, 2020). Indigenous data on educational outcomes and pathways are collected at a national level and across all states and territories. Each state included in this paper had a different system for the release of ATAR data. The process of requesting and obtaining Indigenous data for several states was difficult and time-intensive, where the release of de-identified data on ATAR and educational certificates could be made available</w:t>
      </w:r>
      <w:r w:rsidRPr="00474F79">
        <w:t xml:space="preserve"> routinely</w:t>
      </w:r>
      <w:r w:rsidRPr="00423E24">
        <w:t xml:space="preserve">. </w:t>
      </w:r>
    </w:p>
    <w:p w14:paraId="49945E03" w14:textId="196FA3AD" w:rsidR="003A7EA9" w:rsidRPr="00423E24" w:rsidRDefault="003A7EA9" w:rsidP="009051D3">
      <w:pPr>
        <w:pStyle w:val="JANZSSABodycopy"/>
      </w:pPr>
      <w:r w:rsidRPr="00423E24">
        <w:lastRenderedPageBreak/>
        <w:t xml:space="preserve">Greater transparency is thus required </w:t>
      </w:r>
      <w:r w:rsidR="0048241E">
        <w:t xml:space="preserve">in relation to </w:t>
      </w:r>
      <w:r w:rsidRPr="00423E24">
        <w:t xml:space="preserve">existing data sources. However, there also remain important data gaps around postsecondary outcomes, and across a range of marginalised groups. We have advocated elsewhere the need for a national focus on school transitions and postsecondary outcomes, beyond the limited surveys currently run in two states (Harvey et al., 2023). Equally, we have little student-centred research on the practices of school streaming by regionality, SES, gender, or other major demographic factors. </w:t>
      </w:r>
    </w:p>
    <w:p w14:paraId="5BE76AFC" w14:textId="77777777" w:rsidR="003A7EA9" w:rsidRPr="00423E24" w:rsidRDefault="003A7EA9" w:rsidP="009051D3">
      <w:pPr>
        <w:pStyle w:val="JANZSSAHeading1"/>
      </w:pPr>
      <w:r w:rsidRPr="00423E24">
        <w:t>Conclusion</w:t>
      </w:r>
    </w:p>
    <w:p w14:paraId="580033D7" w14:textId="452AAF02" w:rsidR="003A7EA9" w:rsidRPr="00423E24" w:rsidRDefault="003A7EA9" w:rsidP="009051D3">
      <w:pPr>
        <w:pStyle w:val="JANZSSABodycopy"/>
      </w:pPr>
      <w:r w:rsidRPr="00423E24">
        <w:t>Raising overall higher education growth and meeting equity targets relies on reform of the secondary school sector. As our study demonstrates, non-ATAR students very rarely transition directly to higher education. Non-ATAR students also have lower overall success rates than other students when they do transition to university (Joseph, 2023), and higher rates of initial unemployment than ATAR streamed students (Queensland Department of, 2023). Streaming is designed to promote student choice and we would expect most non-ATAR streamed students to pursue vocational education and pathways. However, the extent, nature</w:t>
      </w:r>
      <w:r w:rsidR="00246D8E">
        <w:t>,</w:t>
      </w:r>
      <w:r w:rsidRPr="00423E24">
        <w:t xml:space="preserve"> and outcomes of streaming are problematic, and the practice is likely reinforcing stereotypes and contributing to unequal postsecondary outcomes. While intended to promote student choice, the implementation of streaming has led to a highly bifurcated system that creates challenges for both the vocational and higher education systems, including </w:t>
      </w:r>
      <w:r>
        <w:t xml:space="preserve">hindering </w:t>
      </w:r>
      <w:r w:rsidRPr="00423E24">
        <w:t>attempts to foster mobility and parity of esteem between the sectors. These are broader challenges outside the scope of this paper</w:t>
      </w:r>
      <w:r w:rsidR="006F441B">
        <w:t>,</w:t>
      </w:r>
      <w:r w:rsidRPr="00423E24">
        <w:t xml:space="preserve"> but it is important to note that the social and economic impacts of school streaming extend beyond the concerns of higher education equity and growth. </w:t>
      </w:r>
    </w:p>
    <w:p w14:paraId="1AD1A755" w14:textId="3EB42758" w:rsidR="003A7EA9" w:rsidRPr="002671EC" w:rsidRDefault="003A7EA9" w:rsidP="009051D3">
      <w:pPr>
        <w:pStyle w:val="JANZSSABodycopy"/>
      </w:pPr>
      <w:r w:rsidRPr="00423E24">
        <w:t>The lack of publicly available data around the extent of ATAR streaming and the postsecondary outcomes of students, including Indigenous and other marginalised groups, is concerning and limiting to the analysis of policy efficacy</w:t>
      </w:r>
      <w:r w:rsidR="006F441B">
        <w:t>.</w:t>
      </w:r>
      <w:r w:rsidRPr="00423E24">
        <w:t xml:space="preserve"> </w:t>
      </w:r>
      <w:r w:rsidR="006F441B">
        <w:t>T</w:t>
      </w:r>
      <w:r w:rsidRPr="00423E24">
        <w:t xml:space="preserve">here remains a need for further research into student motivations and influences on pathway choice. Redressing the inequities of streaming relies on more transparent data (both at school and throughout university), more mobility between vocational and higher education streams, reform of the ATAR, cultural and curricular reform within schools, and better understanding of the motivations and knowledge of students who choose the different streams. </w:t>
      </w:r>
    </w:p>
    <w:p w14:paraId="780D34C1" w14:textId="7843324F" w:rsidR="003A7EA9" w:rsidRPr="00CD5D2C" w:rsidRDefault="003A7EA9" w:rsidP="009051D3">
      <w:pPr>
        <w:pStyle w:val="JANZSSAHeading1"/>
      </w:pPr>
      <w:r w:rsidRPr="00CD5D2C">
        <w:t xml:space="preserve">Statements and </w:t>
      </w:r>
      <w:r w:rsidR="00A869D1">
        <w:t>d</w:t>
      </w:r>
      <w:r w:rsidRPr="00CD5D2C">
        <w:t>eclarations</w:t>
      </w:r>
    </w:p>
    <w:p w14:paraId="2DADB7E4" w14:textId="77777777" w:rsidR="003A7EA9" w:rsidRPr="009051D3" w:rsidRDefault="003A7EA9" w:rsidP="009051D3">
      <w:pPr>
        <w:pStyle w:val="JANZSSABodycopy"/>
      </w:pPr>
      <w:r w:rsidRPr="009051D3">
        <w:t>The authors declare no competing interests. The research was funded by the Paul Ramsay Foundation (Grant No is 681). Any opinions, findings, or conclusions expressed in this submission are those of the author(s) and do not necessarily reflect the views of the Paul Ramsay Foundation or of Griffith University.</w:t>
      </w:r>
    </w:p>
    <w:p w14:paraId="7C746F54" w14:textId="1A36FFFC" w:rsidR="003A7EA9" w:rsidRPr="00AC3906" w:rsidRDefault="003A7EA9" w:rsidP="009051D3">
      <w:pPr>
        <w:pStyle w:val="JANZSSAHeading1"/>
      </w:pPr>
      <w:r w:rsidRPr="00AC3906">
        <w:t xml:space="preserve">Ethics </w:t>
      </w:r>
      <w:r w:rsidR="00A869D1">
        <w:t>s</w:t>
      </w:r>
      <w:r w:rsidRPr="00AC3906">
        <w:t>tatemen</w:t>
      </w:r>
      <w:r>
        <w:t>t</w:t>
      </w:r>
    </w:p>
    <w:p w14:paraId="19DFF0FD" w14:textId="77777777" w:rsidR="003A7EA9" w:rsidRPr="00C231D4" w:rsidRDefault="003A7EA9" w:rsidP="009051D3">
      <w:pPr>
        <w:pStyle w:val="JANZSSABodycopy"/>
      </w:pPr>
      <w:r w:rsidRPr="00C231D4">
        <w:t>Ethical approval was obtained from the Griffith University Human Research Ethics Committee (GU Ref No. 2023/305).</w:t>
      </w:r>
    </w:p>
    <w:p w14:paraId="3F2CDCF9" w14:textId="55F02D94" w:rsidR="003A7EA9" w:rsidRPr="00C231D4" w:rsidRDefault="003A7EA9" w:rsidP="009051D3">
      <w:pPr>
        <w:pStyle w:val="JANZSSAHeading1"/>
      </w:pPr>
      <w:r w:rsidRPr="00C231D4">
        <w:t xml:space="preserve">Acknowledgements </w:t>
      </w:r>
    </w:p>
    <w:p w14:paraId="372605BD" w14:textId="468DCCC8" w:rsidR="003A7EA9" w:rsidRPr="00C231D4" w:rsidRDefault="003A7EA9" w:rsidP="009051D3">
      <w:pPr>
        <w:pStyle w:val="JANZSSABodycopy"/>
      </w:pPr>
      <w:r w:rsidRPr="00C231D4">
        <w:t xml:space="preserve">The authors acknowledge the </w:t>
      </w:r>
      <w:r>
        <w:t>Indigenous</w:t>
      </w:r>
      <w:r w:rsidRPr="00C231D4">
        <w:t xml:space="preserve"> People of Australia,</w:t>
      </w:r>
      <w:r>
        <w:t xml:space="preserve"> and</w:t>
      </w:r>
      <w:r w:rsidRPr="00C231D4">
        <w:t xml:space="preserve"> specifically the </w:t>
      </w:r>
      <w:proofErr w:type="spellStart"/>
      <w:r w:rsidRPr="00C231D4">
        <w:t>Yuggera</w:t>
      </w:r>
      <w:proofErr w:type="spellEnd"/>
      <w:r w:rsidRPr="00C231D4">
        <w:t xml:space="preserve">, </w:t>
      </w:r>
      <w:proofErr w:type="spellStart"/>
      <w:r w:rsidRPr="00C231D4">
        <w:t>Yugarabul</w:t>
      </w:r>
      <w:proofErr w:type="spellEnd"/>
      <w:r w:rsidRPr="00C231D4">
        <w:t xml:space="preserve">, </w:t>
      </w:r>
      <w:proofErr w:type="spellStart"/>
      <w:r w:rsidRPr="00C231D4">
        <w:t>Jagera</w:t>
      </w:r>
      <w:proofErr w:type="spellEnd"/>
      <w:r w:rsidRPr="00C231D4">
        <w:t xml:space="preserve"> and </w:t>
      </w:r>
      <w:proofErr w:type="spellStart"/>
      <w:r w:rsidRPr="00C231D4">
        <w:t>Yugambeh</w:t>
      </w:r>
      <w:proofErr w:type="spellEnd"/>
      <w:r w:rsidRPr="00C231D4">
        <w:t xml:space="preserve"> speaking Peoples as they are the traditional owners of the lands on which our work and writing ha</w:t>
      </w:r>
      <w:r w:rsidR="003872CF">
        <w:t>ve</w:t>
      </w:r>
      <w:r w:rsidRPr="00C231D4">
        <w:t xml:space="preserve"> developed.  </w:t>
      </w:r>
    </w:p>
    <w:p w14:paraId="4E1BA06C" w14:textId="185CAFEE" w:rsidR="00DF11E9" w:rsidRPr="003A7EA9" w:rsidRDefault="003A7EA9" w:rsidP="009051D3">
      <w:pPr>
        <w:pStyle w:val="JANZSSABodycopy"/>
      </w:pPr>
      <w:r w:rsidRPr="00C231D4">
        <w:t>The authors are grateful for the advice and feedback provided by Victorian Department of Education staff.</w:t>
      </w:r>
      <w:r>
        <w:t xml:space="preserve"> </w:t>
      </w:r>
      <w:r w:rsidR="00DF11E9">
        <w:br w:type="page"/>
      </w:r>
    </w:p>
    <w:p w14:paraId="5EE728AA" w14:textId="77777777" w:rsidR="002022FE" w:rsidRPr="00DC44E3" w:rsidRDefault="002022FE" w:rsidP="00BB7D85">
      <w:pPr>
        <w:pStyle w:val="JANZSSAHeading1"/>
        <w:rPr>
          <w:rtl/>
        </w:rPr>
      </w:pPr>
      <w:r w:rsidRPr="00DC44E3">
        <w:rPr>
          <w:lang w:bidi="fa-IR"/>
        </w:rPr>
        <w:lastRenderedPageBreak/>
        <w:t>References</w:t>
      </w:r>
    </w:p>
    <w:p w14:paraId="10929CEA" w14:textId="31ABAF33" w:rsidR="00BC591B" w:rsidRPr="00D9726C" w:rsidRDefault="003A7EA9" w:rsidP="00D9726C">
      <w:pPr>
        <w:pStyle w:val="JANZSSAreferences"/>
      </w:pPr>
      <w:r w:rsidRPr="003A7EA9">
        <w:t xml:space="preserve">Australian Centre for Student Equity and Success. (2024). </w:t>
      </w:r>
      <w:r w:rsidRPr="003A7EA9">
        <w:rPr>
          <w:i/>
        </w:rPr>
        <w:t>Student equity data guide: Defining equity groups</w:t>
      </w:r>
      <w:r w:rsidR="00BB5264">
        <w:rPr>
          <w:i/>
        </w:rPr>
        <w:t>.</w:t>
      </w:r>
      <w:r w:rsidRPr="003A7EA9">
        <w:t xml:space="preserve"> https://s3.ap-southeast-2.amazonaws.com/assets.acses.edu.au/app/uploads/2025/02/Data-Guide-Defining-Equity-Groups.pdf</w:t>
      </w:r>
    </w:p>
    <w:p w14:paraId="200CF447" w14:textId="77777777" w:rsidR="00BC591B" w:rsidRPr="003A7EA9" w:rsidRDefault="00BC591B" w:rsidP="00BC591B">
      <w:pPr>
        <w:pStyle w:val="JANZSSAreferences"/>
        <w:rPr>
          <w:kern w:val="2"/>
        </w:rPr>
      </w:pPr>
      <w:r w:rsidRPr="003A7EA9">
        <w:rPr>
          <w:kern w:val="2"/>
        </w:rPr>
        <w:t xml:space="preserve">Australian Government. (2020). </w:t>
      </w:r>
      <w:r w:rsidRPr="003A7EA9">
        <w:rPr>
          <w:i/>
          <w:kern w:val="2"/>
        </w:rPr>
        <w:t>Closing the gap report 2020</w:t>
      </w:r>
      <w:r w:rsidRPr="003A7EA9">
        <w:rPr>
          <w:kern w:val="2"/>
        </w:rPr>
        <w:t>. https://ctgreport.niaa.gov.au/sites/default/files/pdf/closing-the-gap-report-2020.pdf</w:t>
      </w:r>
    </w:p>
    <w:p w14:paraId="4CDF8E22" w14:textId="01AD1579" w:rsidR="003A7EA9" w:rsidRDefault="003A7EA9" w:rsidP="003A7EA9">
      <w:pPr>
        <w:pStyle w:val="JANZSSAreferences"/>
        <w:rPr>
          <w:kern w:val="2"/>
        </w:rPr>
      </w:pPr>
      <w:r w:rsidRPr="003A7EA9">
        <w:rPr>
          <w:kern w:val="2"/>
        </w:rPr>
        <w:t xml:space="preserve">Australian </w:t>
      </w:r>
      <w:r w:rsidR="00EA3404">
        <w:rPr>
          <w:kern w:val="2"/>
        </w:rPr>
        <w:t xml:space="preserve">Government </w:t>
      </w:r>
      <w:r w:rsidRPr="003A7EA9">
        <w:rPr>
          <w:kern w:val="2"/>
        </w:rPr>
        <w:t>Department of Education. (2023)</w:t>
      </w:r>
      <w:r w:rsidRPr="003A7EA9">
        <w:rPr>
          <w:i/>
          <w:kern w:val="2"/>
        </w:rPr>
        <w:t>. Improving outcomes for all: The report of the independent expert panel’s review to inform a better and fairer education system.</w:t>
      </w:r>
      <w:r w:rsidRPr="003A7EA9">
        <w:rPr>
          <w:kern w:val="2"/>
        </w:rPr>
        <w:t xml:space="preserve"> </w:t>
      </w:r>
      <w:r w:rsidR="00993598" w:rsidRPr="00D9726C">
        <w:rPr>
          <w:kern w:val="2"/>
        </w:rPr>
        <w:t>https://www.education.gov.au/review-inform-better-and-fairer-education-system/resources/expert-panels-report</w:t>
      </w:r>
    </w:p>
    <w:p w14:paraId="522087A9" w14:textId="4915625F" w:rsidR="00993598" w:rsidRPr="003A7EA9" w:rsidRDefault="00993598" w:rsidP="00993598">
      <w:pPr>
        <w:pStyle w:val="JANZSSAreferences"/>
        <w:rPr>
          <w:kern w:val="2"/>
        </w:rPr>
      </w:pPr>
      <w:r>
        <w:rPr>
          <w:kern w:val="2"/>
        </w:rPr>
        <w:t xml:space="preserve">Australian Government </w:t>
      </w:r>
      <w:r w:rsidRPr="00FB33D1">
        <w:rPr>
          <w:kern w:val="2"/>
        </w:rPr>
        <w:t>Department of Education. (202</w:t>
      </w:r>
      <w:r>
        <w:rPr>
          <w:kern w:val="2"/>
        </w:rPr>
        <w:t>4</w:t>
      </w:r>
      <w:r w:rsidRPr="00FB33D1">
        <w:rPr>
          <w:kern w:val="2"/>
        </w:rPr>
        <w:t>)</w:t>
      </w:r>
      <w:r w:rsidRPr="00FB33D1">
        <w:rPr>
          <w:i/>
          <w:kern w:val="2"/>
        </w:rPr>
        <w:t>. Australian Universities Accord: Final report</w:t>
      </w:r>
      <w:r w:rsidRPr="00FB33D1">
        <w:rPr>
          <w:kern w:val="2"/>
        </w:rPr>
        <w:t xml:space="preserve">. Australian </w:t>
      </w:r>
      <w:r>
        <w:rPr>
          <w:kern w:val="2"/>
        </w:rPr>
        <w:t>Government</w:t>
      </w:r>
      <w:r w:rsidRPr="00FB33D1">
        <w:rPr>
          <w:kern w:val="2"/>
        </w:rPr>
        <w:t>.</w:t>
      </w:r>
      <w:r w:rsidRPr="00FB33D1">
        <w:t xml:space="preserve"> </w:t>
      </w:r>
      <w:r w:rsidRPr="00FB33D1">
        <w:rPr>
          <w:kern w:val="2"/>
        </w:rPr>
        <w:t>https://www.education.gov.au/australian-universities-accord/resources/final-report</w:t>
      </w:r>
    </w:p>
    <w:p w14:paraId="375C8E90" w14:textId="57A26687" w:rsidR="003A7EA9" w:rsidRPr="003A7EA9" w:rsidRDefault="003A7EA9" w:rsidP="003A7EA9">
      <w:pPr>
        <w:pStyle w:val="JANZSSAreferences"/>
        <w:rPr>
          <w:kern w:val="2"/>
        </w:rPr>
      </w:pPr>
      <w:r w:rsidRPr="003A7EA9">
        <w:rPr>
          <w:kern w:val="2"/>
        </w:rPr>
        <w:t xml:space="preserve">Australian </w:t>
      </w:r>
      <w:r w:rsidR="00EA3404">
        <w:rPr>
          <w:kern w:val="2"/>
        </w:rPr>
        <w:t xml:space="preserve">Government </w:t>
      </w:r>
      <w:r w:rsidRPr="003A7EA9">
        <w:rPr>
          <w:kern w:val="2"/>
        </w:rPr>
        <w:t>Department of Education. (</w:t>
      </w:r>
      <w:r w:rsidR="001165A0" w:rsidRPr="001165A0">
        <w:rPr>
          <w:kern w:val="2"/>
        </w:rPr>
        <w:t>2026, February 10</w:t>
      </w:r>
      <w:r w:rsidRPr="003A7EA9">
        <w:rPr>
          <w:kern w:val="2"/>
        </w:rPr>
        <w:t xml:space="preserve">). </w:t>
      </w:r>
      <w:r w:rsidRPr="003A7EA9">
        <w:rPr>
          <w:i/>
          <w:kern w:val="2"/>
        </w:rPr>
        <w:t>Key findings from the 2024 higher education student statistics</w:t>
      </w:r>
      <w:r w:rsidRPr="003A7EA9">
        <w:rPr>
          <w:kern w:val="2"/>
        </w:rPr>
        <w:t>.</w:t>
      </w:r>
      <w:r w:rsidRPr="003A7EA9">
        <w:t xml:space="preserve"> </w:t>
      </w:r>
      <w:r w:rsidRPr="003A7EA9">
        <w:rPr>
          <w:kern w:val="2"/>
        </w:rPr>
        <w:t>https://www.education.gov.au/higher-education-statistics/student-data/selected-higher-education-statistics-2024-student-data/key-findings-2024-higher-education-student-statistics</w:t>
      </w:r>
    </w:p>
    <w:p w14:paraId="705186F5" w14:textId="226CFB31" w:rsidR="003A7EA9" w:rsidRPr="003A7EA9" w:rsidRDefault="003A7EA9" w:rsidP="003A7EA9">
      <w:pPr>
        <w:pStyle w:val="JANZSSAreferences"/>
      </w:pPr>
      <w:r w:rsidRPr="007C029A">
        <w:t>Australian Institute of Health and Welfare. (</w:t>
      </w:r>
      <w:r w:rsidR="00AE72DA" w:rsidRPr="007C029A">
        <w:t>202</w:t>
      </w:r>
      <w:r w:rsidR="00AE72DA">
        <w:t>5</w:t>
      </w:r>
      <w:r w:rsidR="00D63F2A">
        <w:t>, October 16</w:t>
      </w:r>
      <w:r w:rsidRPr="007C029A">
        <w:t xml:space="preserve">). </w:t>
      </w:r>
      <w:r w:rsidRPr="007C029A">
        <w:rPr>
          <w:i/>
        </w:rPr>
        <w:t>Education of First Nations people</w:t>
      </w:r>
      <w:r w:rsidRPr="007C029A">
        <w:t>.</w:t>
      </w:r>
      <w:r w:rsidR="001F704A">
        <w:t xml:space="preserve"> </w:t>
      </w:r>
      <w:r w:rsidR="00D9726C" w:rsidRPr="00D9726C">
        <w:t>https://www.aihw.gov.au/reports/australias-welfare/indigenous-education-and-skills</w:t>
      </w:r>
    </w:p>
    <w:p w14:paraId="36473F20" w14:textId="2410CD09" w:rsidR="003A7EA9" w:rsidRDefault="003A7EA9" w:rsidP="003A7EA9">
      <w:pPr>
        <w:pStyle w:val="JANZSSAreferences"/>
      </w:pPr>
      <w:r w:rsidRPr="001D0081">
        <w:t xml:space="preserve">Behrendt, L. Y., Larkin, S., </w:t>
      </w:r>
      <w:proofErr w:type="spellStart"/>
      <w:r w:rsidRPr="001D0081">
        <w:t>Griew</w:t>
      </w:r>
      <w:proofErr w:type="spellEnd"/>
      <w:r w:rsidRPr="001D0081">
        <w:t>, R., &amp; Kelly, P. (2012). </w:t>
      </w:r>
      <w:r w:rsidRPr="001D0081">
        <w:rPr>
          <w:i/>
        </w:rPr>
        <w:t>Review of higher education access and outcomes for Aboriginal and Torres Strait Islander people</w:t>
      </w:r>
      <w:r w:rsidR="001D0081">
        <w:rPr>
          <w:i/>
        </w:rPr>
        <w:t>: Final report</w:t>
      </w:r>
      <w:r w:rsidRPr="001D0081">
        <w:t>. Department of Industry, Innovation, Science, Research and Tertiary Education.</w:t>
      </w:r>
    </w:p>
    <w:p w14:paraId="23837BA0" w14:textId="3E230A8B" w:rsidR="00762540" w:rsidRPr="003A7EA9" w:rsidRDefault="00762540" w:rsidP="003A7EA9">
      <w:pPr>
        <w:pStyle w:val="JANZSSAreferences"/>
      </w:pPr>
      <w:r w:rsidRPr="00762540">
        <w:t xml:space="preserve">Bradley, D., Noonan, P., Nugent, H., &amp; Scales, B. (2008). </w:t>
      </w:r>
      <w:r w:rsidRPr="00762540">
        <w:rPr>
          <w:i/>
          <w:iCs/>
        </w:rPr>
        <w:t>Review of Australian higher education: Final report.</w:t>
      </w:r>
      <w:r w:rsidRPr="00762540">
        <w:t xml:space="preserve"> Department of Education, Employment and Workplace Relations</w:t>
      </w:r>
      <w:r w:rsidR="00D9726C">
        <w:t>.</w:t>
      </w:r>
    </w:p>
    <w:p w14:paraId="664D71C3" w14:textId="58DBB245" w:rsidR="003A7EA9" w:rsidRPr="003A7EA9" w:rsidRDefault="003A7EA9" w:rsidP="003A7EA9">
      <w:pPr>
        <w:pStyle w:val="JANZSSAreferences"/>
      </w:pPr>
      <w:r w:rsidRPr="003A7EA9">
        <w:t xml:space="preserve">Brett, M., Tootell, N., Harvey, A., </w:t>
      </w:r>
      <w:proofErr w:type="spellStart"/>
      <w:r w:rsidRPr="003A7EA9">
        <w:t>Cardak</w:t>
      </w:r>
      <w:proofErr w:type="spellEnd"/>
      <w:r w:rsidRPr="003A7EA9">
        <w:t>, B. A., &amp; Noonan, P. (2019)</w:t>
      </w:r>
      <w:r w:rsidRPr="003A7EA9">
        <w:rPr>
          <w:i/>
        </w:rPr>
        <w:t>. Equity at and beyond the boundary of Australian universities</w:t>
      </w:r>
      <w:r w:rsidRPr="0008090D">
        <w:rPr>
          <w:i/>
        </w:rPr>
        <w:t>.</w:t>
      </w:r>
      <w:r w:rsidRPr="0008090D">
        <w:t xml:space="preserve"> La Trobe University.</w:t>
      </w:r>
      <w:r w:rsidR="006E23B7" w:rsidRPr="006E23B7">
        <w:t xml:space="preserve"> https://www.acses.edu.au/app/uploads/2019/03/Brett_LaTrobe_Final.pdf</w:t>
      </w:r>
    </w:p>
    <w:p w14:paraId="44122D17" w14:textId="0A2435B4" w:rsidR="003A7EA9" w:rsidRPr="003A7EA9" w:rsidRDefault="003A7EA9" w:rsidP="003A7EA9">
      <w:pPr>
        <w:pStyle w:val="JANZSSAreferences"/>
        <w:rPr>
          <w:kern w:val="2"/>
        </w:rPr>
      </w:pPr>
      <w:r w:rsidRPr="003A7EA9">
        <w:rPr>
          <w:kern w:val="2"/>
        </w:rPr>
        <w:t xml:space="preserve">Delahunty, J. (2022). </w:t>
      </w:r>
      <w:r w:rsidRPr="003A7EA9">
        <w:rPr>
          <w:i/>
          <w:kern w:val="2"/>
        </w:rPr>
        <w:t xml:space="preserve">‘You going to </w:t>
      </w:r>
      <w:proofErr w:type="spellStart"/>
      <w:r w:rsidRPr="003A7EA9">
        <w:rPr>
          <w:i/>
          <w:kern w:val="2"/>
        </w:rPr>
        <w:t>uni</w:t>
      </w:r>
      <w:proofErr w:type="spellEnd"/>
      <w:r w:rsidRPr="003A7EA9">
        <w:rPr>
          <w:i/>
          <w:kern w:val="2"/>
        </w:rPr>
        <w:t xml:space="preserve">?’ Exploring how people from regional, rural and remote areas navigate into and through higher education: 2020 </w:t>
      </w:r>
      <w:r w:rsidR="006E23B7">
        <w:rPr>
          <w:i/>
          <w:kern w:val="2"/>
        </w:rPr>
        <w:t>E</w:t>
      </w:r>
      <w:r w:rsidRPr="003A7EA9">
        <w:rPr>
          <w:i/>
          <w:kern w:val="2"/>
        </w:rPr>
        <w:t xml:space="preserve">quity </w:t>
      </w:r>
      <w:r w:rsidR="006E23B7">
        <w:rPr>
          <w:i/>
          <w:kern w:val="2"/>
        </w:rPr>
        <w:t>F</w:t>
      </w:r>
      <w:r w:rsidRPr="003A7EA9">
        <w:rPr>
          <w:i/>
          <w:kern w:val="2"/>
        </w:rPr>
        <w:t>ellowship report</w:t>
      </w:r>
      <w:r w:rsidRPr="003A7EA9">
        <w:rPr>
          <w:kern w:val="2"/>
        </w:rPr>
        <w:t>. National Centre for Student Equity in Higher Education.</w:t>
      </w:r>
      <w:r w:rsidR="006E23B7" w:rsidRPr="006E23B7">
        <w:t xml:space="preserve"> </w:t>
      </w:r>
      <w:r w:rsidR="006E23B7" w:rsidRPr="006E23B7">
        <w:rPr>
          <w:kern w:val="2"/>
        </w:rPr>
        <w:t>https://www.acses.edu.au/app/uploads/2022/02/Delahunty_UOW_EquityFellowship_FINAL.pdf</w:t>
      </w:r>
    </w:p>
    <w:p w14:paraId="0858B0BD" w14:textId="6B468330" w:rsidR="003A7EA9" w:rsidRPr="003A7EA9" w:rsidRDefault="003A7EA9" w:rsidP="003A7EA9">
      <w:pPr>
        <w:pStyle w:val="JANZSSAreferences"/>
        <w:rPr>
          <w:kern w:val="2"/>
        </w:rPr>
      </w:pPr>
      <w:r w:rsidRPr="003A7EA9">
        <w:rPr>
          <w:kern w:val="2"/>
        </w:rPr>
        <w:t xml:space="preserve">Devlin, M., &amp; McKay, M. (2018). The financial realities for students from low SES backgrounds at Australian regional universities. </w:t>
      </w:r>
      <w:r w:rsidRPr="003A7EA9">
        <w:rPr>
          <w:i/>
          <w:kern w:val="2"/>
        </w:rPr>
        <w:t>Australian and International Journal of Rural Education</w:t>
      </w:r>
      <w:r w:rsidRPr="003A7EA9">
        <w:rPr>
          <w:kern w:val="2"/>
        </w:rPr>
        <w:t xml:space="preserve">, </w:t>
      </w:r>
      <w:r w:rsidRPr="003A7EA9">
        <w:rPr>
          <w:i/>
          <w:kern w:val="2"/>
        </w:rPr>
        <w:t>28</w:t>
      </w:r>
      <w:r w:rsidRPr="003A7EA9">
        <w:rPr>
          <w:kern w:val="2"/>
        </w:rPr>
        <w:t>(1), 121–136.</w:t>
      </w:r>
      <w:r w:rsidR="00C961F6" w:rsidRPr="00C961F6">
        <w:t xml:space="preserve"> </w:t>
      </w:r>
      <w:r w:rsidR="00C961F6" w:rsidRPr="00C961F6">
        <w:rPr>
          <w:kern w:val="2"/>
        </w:rPr>
        <w:t>https://doi.org/10.47381/aijre.v28i1.152</w:t>
      </w:r>
    </w:p>
    <w:p w14:paraId="4D80ECEB" w14:textId="62B17EBC" w:rsidR="003A7EA9" w:rsidRPr="003A7EA9" w:rsidRDefault="003A7EA9" w:rsidP="003A7EA9">
      <w:pPr>
        <w:pStyle w:val="JANZSSAreferences"/>
        <w:rPr>
          <w:kern w:val="2"/>
        </w:rPr>
      </w:pPr>
      <w:r w:rsidRPr="003A7EA9">
        <w:rPr>
          <w:kern w:val="2"/>
        </w:rPr>
        <w:t xml:space="preserve">Dollinger, M., Harvey, A., Naylor, R., Mahat, M., &amp; D’Angelo, B. (2022). </w:t>
      </w:r>
      <w:r w:rsidRPr="003A7EA9">
        <w:rPr>
          <w:i/>
          <w:kern w:val="2"/>
        </w:rPr>
        <w:t>A student-centred approach: Understanding higher education pathways through co-design: Final report</w:t>
      </w:r>
      <w:r w:rsidRPr="003A7EA9">
        <w:rPr>
          <w:kern w:val="2"/>
        </w:rPr>
        <w:t>. National Centre for Student Equity in Higher Education, Curtin University.</w:t>
      </w:r>
      <w:r w:rsidR="00C961F6" w:rsidRPr="00C961F6">
        <w:t xml:space="preserve"> </w:t>
      </w:r>
      <w:r w:rsidR="00C961F6" w:rsidRPr="00C961F6">
        <w:rPr>
          <w:kern w:val="2"/>
        </w:rPr>
        <w:t>https://www.acses.edu.au/app/uploads/2022/11/2022-Dollinger-Final.pdf</w:t>
      </w:r>
    </w:p>
    <w:p w14:paraId="6E41BD67" w14:textId="45F1BE35" w:rsidR="00BC591B" w:rsidRPr="003A7EA9" w:rsidRDefault="00BC591B" w:rsidP="00BC591B">
      <w:pPr>
        <w:pStyle w:val="JANZSSAreferences"/>
      </w:pPr>
      <w:r w:rsidRPr="003A7EA9">
        <w:t>First Peoples - State Relations. (2024</w:t>
      </w:r>
      <w:r>
        <w:t>, September 25</w:t>
      </w:r>
      <w:r w:rsidRPr="003A7EA9">
        <w:t xml:space="preserve">). </w:t>
      </w:r>
      <w:r w:rsidRPr="003A7EA9">
        <w:rPr>
          <w:i/>
        </w:rPr>
        <w:t>Victorian Aboriginal affairs framework (VAAF) data dashboard: Goal 6—Aboriginal learners are engaged at school</w:t>
      </w:r>
      <w:r w:rsidRPr="003A7EA9">
        <w:t xml:space="preserve">. </w:t>
      </w:r>
      <w:r w:rsidRPr="0063663B">
        <w:t>Victorian Government</w:t>
      </w:r>
      <w:r>
        <w:t xml:space="preserve">. </w:t>
      </w:r>
      <w:r w:rsidRPr="004B55DF">
        <w:t>https://www.firstpeoplesrelations.vic.gov.au/victorian-aboriginal-affairs-framework-data-dashboard/learning-and-skills-data/goal-6</w:t>
      </w:r>
    </w:p>
    <w:p w14:paraId="660DDE4B" w14:textId="2CE8CF33" w:rsidR="003A7EA9" w:rsidRPr="003A7EA9" w:rsidRDefault="003A7EA9" w:rsidP="003A7EA9">
      <w:pPr>
        <w:pStyle w:val="JANZSSAreferences"/>
        <w:rPr>
          <w:kern w:val="2"/>
        </w:rPr>
      </w:pPr>
      <w:r w:rsidRPr="003A7EA9">
        <w:rPr>
          <w:kern w:val="2"/>
        </w:rPr>
        <w:t xml:space="preserve">Firth, J. (2020). </w:t>
      </w:r>
      <w:r w:rsidRPr="003A7EA9">
        <w:rPr>
          <w:i/>
          <w:kern w:val="2"/>
        </w:rPr>
        <w:t>Review into vocational and applied learning pathways in senior secondary schooling: Final report</w:t>
      </w:r>
      <w:r w:rsidRPr="003A7EA9">
        <w:rPr>
          <w:kern w:val="2"/>
        </w:rPr>
        <w:t>. Victorian Department of Education and Training.</w:t>
      </w:r>
      <w:r w:rsidR="00C961F6" w:rsidRPr="00C961F6">
        <w:t xml:space="preserve"> </w:t>
      </w:r>
      <w:r w:rsidR="00C961F6" w:rsidRPr="00C961F6">
        <w:rPr>
          <w:kern w:val="2"/>
        </w:rPr>
        <w:t>https://www.education.vic.gov.au/Documents/school/vocational-applied-learning-pathways-report.pdf</w:t>
      </w:r>
    </w:p>
    <w:p w14:paraId="3D15C4CE" w14:textId="01ED4DC3" w:rsidR="003A7EA9" w:rsidRPr="003A7EA9" w:rsidRDefault="003A7EA9" w:rsidP="003A7EA9">
      <w:pPr>
        <w:pStyle w:val="JANZSSAreferences"/>
        <w:rPr>
          <w:kern w:val="2"/>
        </w:rPr>
      </w:pPr>
      <w:r w:rsidRPr="003A7EA9">
        <w:rPr>
          <w:kern w:val="2"/>
        </w:rPr>
        <w:t xml:space="preserve">Glover, B. (2024, August 14). </w:t>
      </w:r>
      <w:r w:rsidRPr="003A7EA9">
        <w:rPr>
          <w:i/>
          <w:kern w:val="2"/>
        </w:rPr>
        <w:t>Skills success in Australia: Aligning need with know how</w:t>
      </w:r>
      <w:r w:rsidRPr="003A7EA9">
        <w:rPr>
          <w:kern w:val="2"/>
        </w:rPr>
        <w:t xml:space="preserve"> [</w:t>
      </w:r>
      <w:r w:rsidR="00F36950" w:rsidRPr="00F36950">
        <w:rPr>
          <w:kern w:val="2"/>
        </w:rPr>
        <w:t>Speech transcript</w:t>
      </w:r>
      <w:r w:rsidRPr="003A7EA9">
        <w:rPr>
          <w:kern w:val="2"/>
        </w:rPr>
        <w:t>].</w:t>
      </w:r>
      <w:r w:rsidR="00C961F6">
        <w:rPr>
          <w:kern w:val="2"/>
        </w:rPr>
        <w:t xml:space="preserve"> Jobs and Skills Australia.</w:t>
      </w:r>
      <w:r w:rsidRPr="003A7EA9">
        <w:rPr>
          <w:kern w:val="2"/>
        </w:rPr>
        <w:t xml:space="preserve"> https://www.jobsandskills.gov.au/sites/default/files/2024-08/Jobs%20and%20Skills%20Australia%20National%20Press%20Club%20Address%2014%20August%202024.pdf</w:t>
      </w:r>
    </w:p>
    <w:p w14:paraId="072BD959" w14:textId="22675122" w:rsidR="003A7EA9" w:rsidRPr="003A7EA9" w:rsidRDefault="003A7EA9" w:rsidP="003A7EA9">
      <w:pPr>
        <w:pStyle w:val="JANZSSAreferences"/>
        <w:rPr>
          <w:kern w:val="2"/>
        </w:rPr>
      </w:pPr>
      <w:r w:rsidRPr="003A7EA9">
        <w:rPr>
          <w:kern w:val="2"/>
        </w:rPr>
        <w:t xml:space="preserve">Harvey, A. (2014). Early and delayed offers to under-represented university students. </w:t>
      </w:r>
      <w:r w:rsidRPr="003A7EA9">
        <w:rPr>
          <w:i/>
          <w:kern w:val="2"/>
        </w:rPr>
        <w:t>Australian Journal of Education</w:t>
      </w:r>
      <w:r w:rsidRPr="003A7EA9">
        <w:rPr>
          <w:kern w:val="2"/>
        </w:rPr>
        <w:t xml:space="preserve">, </w:t>
      </w:r>
      <w:r w:rsidRPr="003A7EA9">
        <w:rPr>
          <w:i/>
          <w:kern w:val="2"/>
        </w:rPr>
        <w:t>58</w:t>
      </w:r>
      <w:r w:rsidRPr="003A7EA9">
        <w:rPr>
          <w:kern w:val="2"/>
        </w:rPr>
        <w:t>(2), 167–181. https://doi.org/10.1177/0004944114523367</w:t>
      </w:r>
    </w:p>
    <w:p w14:paraId="383DDBE3" w14:textId="52CFB3B7" w:rsidR="003A7EA9" w:rsidRPr="003A7EA9" w:rsidRDefault="003A7EA9" w:rsidP="003A7EA9">
      <w:pPr>
        <w:pStyle w:val="JANZSSAreferences"/>
        <w:rPr>
          <w:rStyle w:val="Hyperlink"/>
          <w:kern w:val="2"/>
        </w:rPr>
      </w:pPr>
      <w:r w:rsidRPr="003A7EA9">
        <w:rPr>
          <w:kern w:val="2"/>
        </w:rPr>
        <w:t xml:space="preserve">Harvey, A., </w:t>
      </w:r>
      <w:proofErr w:type="spellStart"/>
      <w:r w:rsidRPr="003A7EA9">
        <w:rPr>
          <w:kern w:val="2"/>
        </w:rPr>
        <w:t>Burnheim</w:t>
      </w:r>
      <w:proofErr w:type="spellEnd"/>
      <w:r w:rsidRPr="003A7EA9">
        <w:rPr>
          <w:kern w:val="2"/>
        </w:rPr>
        <w:t xml:space="preserve">, C., &amp; Brett, M. (2016). Towards a fairer chance for all: Revising the Australian student equity framework. In A. Harvey, C. </w:t>
      </w:r>
      <w:proofErr w:type="spellStart"/>
      <w:r w:rsidRPr="003A7EA9">
        <w:rPr>
          <w:kern w:val="2"/>
        </w:rPr>
        <w:t>Burnheim</w:t>
      </w:r>
      <w:proofErr w:type="spellEnd"/>
      <w:r w:rsidRPr="003A7EA9">
        <w:rPr>
          <w:kern w:val="2"/>
        </w:rPr>
        <w:t xml:space="preserve">, &amp; M. Brett (Eds.), </w:t>
      </w:r>
      <w:r w:rsidRPr="003A7EA9">
        <w:rPr>
          <w:i/>
          <w:kern w:val="2"/>
        </w:rPr>
        <w:t>Student equity in Australian higher education: Twenty-five years of a fair chance for all</w:t>
      </w:r>
      <w:r w:rsidRPr="003A7EA9">
        <w:rPr>
          <w:kern w:val="2"/>
        </w:rPr>
        <w:t xml:space="preserve"> (pp. 3–20). Springer. https://doi.org/10.1007/978-981-10-0315-8_1</w:t>
      </w:r>
    </w:p>
    <w:p w14:paraId="382961EA" w14:textId="4565A9BB" w:rsidR="003A7EA9" w:rsidRPr="003A7EA9" w:rsidRDefault="003A7EA9" w:rsidP="003A7EA9">
      <w:pPr>
        <w:pStyle w:val="JANZSSAreferences"/>
      </w:pPr>
      <w:r w:rsidRPr="003A7EA9">
        <w:lastRenderedPageBreak/>
        <w:t xml:space="preserve">Harvey, A., Campion, L., &amp; Wren, R. J. (2023). </w:t>
      </w:r>
      <w:r w:rsidRPr="003A7EA9">
        <w:rPr>
          <w:i/>
        </w:rPr>
        <w:t>The impact of school streaming on growth and equity in Australian higher education: Evidence from Queensland</w:t>
      </w:r>
      <w:r w:rsidR="00760613">
        <w:rPr>
          <w:i/>
        </w:rPr>
        <w:t xml:space="preserve"> </w:t>
      </w:r>
      <w:r w:rsidR="00760613">
        <w:rPr>
          <w:iCs/>
        </w:rPr>
        <w:t>(Policy Paper #1)</w:t>
      </w:r>
      <w:r w:rsidRPr="003A7EA9">
        <w:t xml:space="preserve">. Griffith University. </w:t>
      </w:r>
      <w:r w:rsidR="00760613" w:rsidRPr="00760613">
        <w:t>https://dx.doi.org/10.25904/1912/4989</w:t>
      </w:r>
    </w:p>
    <w:p w14:paraId="269E2EAB" w14:textId="451A149F" w:rsidR="003A7EA9" w:rsidRPr="003A7EA9" w:rsidRDefault="003A7EA9" w:rsidP="003A7EA9">
      <w:pPr>
        <w:pStyle w:val="JANZSSAreferences"/>
      </w:pPr>
      <w:r w:rsidRPr="003A7EA9">
        <w:t xml:space="preserve">Harvey, A., Campion, L., &amp; Wren, R. (2025). Challenges of </w:t>
      </w:r>
      <w:r w:rsidR="00D7428C">
        <w:t>e</w:t>
      </w:r>
      <w:r w:rsidRPr="003A7EA9">
        <w:t xml:space="preserve">quity and </w:t>
      </w:r>
      <w:r w:rsidR="00D7428C">
        <w:t>c</w:t>
      </w:r>
      <w:r w:rsidRPr="003A7EA9">
        <w:t xml:space="preserve">ontextual </w:t>
      </w:r>
      <w:r w:rsidR="00D7428C">
        <w:t>a</w:t>
      </w:r>
      <w:r w:rsidRPr="003A7EA9">
        <w:t xml:space="preserve">dmissions in Australian </w:t>
      </w:r>
      <w:r w:rsidR="00D7428C">
        <w:t>h</w:t>
      </w:r>
      <w:r w:rsidRPr="003A7EA9">
        <w:t xml:space="preserve">igher </w:t>
      </w:r>
      <w:r w:rsidR="00D7428C">
        <w:t>e</w:t>
      </w:r>
      <w:r w:rsidRPr="003A7EA9">
        <w:t>ducation. In</w:t>
      </w:r>
      <w:r w:rsidR="00D7428C" w:rsidRPr="00D7428C">
        <w:t xml:space="preserve"> M</w:t>
      </w:r>
      <w:r w:rsidR="00D7428C">
        <w:t>.</w:t>
      </w:r>
      <w:r w:rsidR="00D7428C" w:rsidRPr="00D7428C">
        <w:t xml:space="preserve"> N. Bastedo</w:t>
      </w:r>
      <w:r w:rsidR="00D7428C">
        <w:t xml:space="preserve"> (Ed.),</w:t>
      </w:r>
      <w:r w:rsidRPr="003A7EA9">
        <w:t> </w:t>
      </w:r>
      <w:r w:rsidRPr="003A7EA9">
        <w:rPr>
          <w:i/>
          <w:iCs/>
        </w:rPr>
        <w:t xml:space="preserve">Holistic </w:t>
      </w:r>
      <w:r w:rsidR="00D7428C">
        <w:rPr>
          <w:i/>
          <w:iCs/>
        </w:rPr>
        <w:t>a</w:t>
      </w:r>
      <w:r w:rsidRPr="003A7EA9">
        <w:rPr>
          <w:i/>
          <w:iCs/>
        </w:rPr>
        <w:t xml:space="preserve">dmissions as a </w:t>
      </w:r>
      <w:r w:rsidR="00D7428C">
        <w:rPr>
          <w:i/>
          <w:iCs/>
        </w:rPr>
        <w:t>g</w:t>
      </w:r>
      <w:r w:rsidRPr="003A7EA9">
        <w:rPr>
          <w:i/>
          <w:iCs/>
        </w:rPr>
        <w:t xml:space="preserve">lobal </w:t>
      </w:r>
      <w:r w:rsidR="00D7428C">
        <w:rPr>
          <w:i/>
          <w:iCs/>
        </w:rPr>
        <w:t>p</w:t>
      </w:r>
      <w:r w:rsidRPr="003A7EA9">
        <w:rPr>
          <w:i/>
          <w:iCs/>
        </w:rPr>
        <w:t>henomenon</w:t>
      </w:r>
      <w:r w:rsidRPr="003A7EA9">
        <w:t> (pp. 85</w:t>
      </w:r>
      <w:r w:rsidR="00D7428C">
        <w:t>–</w:t>
      </w:r>
      <w:r w:rsidRPr="003A7EA9">
        <w:t>107). Routledge.</w:t>
      </w:r>
      <w:r w:rsidR="00D7428C" w:rsidRPr="00D7428C">
        <w:t xml:space="preserve"> https://doi.org/10.4324/9781003563310-4</w:t>
      </w:r>
    </w:p>
    <w:p w14:paraId="1D7115BD" w14:textId="482FCAD8" w:rsidR="003A7EA9" w:rsidRPr="003A7EA9" w:rsidRDefault="003A7EA9" w:rsidP="003A7EA9">
      <w:pPr>
        <w:pStyle w:val="JANZSSAreferences"/>
      </w:pPr>
      <w:r w:rsidRPr="003A7EA9">
        <w:t xml:space="preserve">Higher Education Standards Panel. (2023). </w:t>
      </w:r>
      <w:r w:rsidRPr="003A7EA9">
        <w:rPr>
          <w:i/>
        </w:rPr>
        <w:t>Submission to the Australian Universities Accord Panel: Developments in higher education admissions practices</w:t>
      </w:r>
      <w:r w:rsidRPr="003A7EA9">
        <w:t>. https://www.education.gov.au/system/files/documents/submission-file/2023-07/Higher%20Education%20Standards%20Panel%20%28HESP%29.pdf</w:t>
      </w:r>
    </w:p>
    <w:p w14:paraId="165BAF4E" w14:textId="6EA2608E" w:rsidR="003A7EA9" w:rsidRPr="003A7EA9" w:rsidRDefault="003A7EA9" w:rsidP="003A7EA9">
      <w:pPr>
        <w:pStyle w:val="JANZSSAreferences"/>
        <w:rPr>
          <w:kern w:val="2"/>
        </w:rPr>
      </w:pPr>
      <w:r w:rsidRPr="003A7EA9">
        <w:rPr>
          <w:kern w:val="2"/>
        </w:rPr>
        <w:t xml:space="preserve">James, R. (2000). Non-traditional students in Australian higher education: Persistent inequities and the new ideology of </w:t>
      </w:r>
      <w:r w:rsidR="006327A1">
        <w:rPr>
          <w:kern w:val="2"/>
        </w:rPr>
        <w:t>‘</w:t>
      </w:r>
      <w:r w:rsidRPr="003A7EA9">
        <w:rPr>
          <w:kern w:val="2"/>
        </w:rPr>
        <w:t>student choice</w:t>
      </w:r>
      <w:r w:rsidR="006327A1">
        <w:rPr>
          <w:kern w:val="2"/>
        </w:rPr>
        <w:t>’</w:t>
      </w:r>
      <w:r w:rsidRPr="003A7EA9">
        <w:rPr>
          <w:kern w:val="2"/>
        </w:rPr>
        <w:t xml:space="preserve">. </w:t>
      </w:r>
      <w:r w:rsidRPr="003A7EA9">
        <w:rPr>
          <w:i/>
          <w:kern w:val="2"/>
        </w:rPr>
        <w:t>Tertiary Education and Management</w:t>
      </w:r>
      <w:r w:rsidRPr="003A7EA9">
        <w:rPr>
          <w:kern w:val="2"/>
        </w:rPr>
        <w:t xml:space="preserve">, </w:t>
      </w:r>
      <w:r w:rsidRPr="003A7EA9">
        <w:rPr>
          <w:i/>
          <w:kern w:val="2"/>
        </w:rPr>
        <w:t>6</w:t>
      </w:r>
      <w:r w:rsidRPr="003A7EA9">
        <w:rPr>
          <w:kern w:val="2"/>
        </w:rPr>
        <w:t>(2), 105–118. https://doi.org/10.1023/A:1009617204025</w:t>
      </w:r>
    </w:p>
    <w:p w14:paraId="56610D4A" w14:textId="095AA2D3" w:rsidR="003A7EA9" w:rsidRPr="003A7EA9" w:rsidRDefault="003A7EA9" w:rsidP="003A7EA9">
      <w:pPr>
        <w:pStyle w:val="JANZSSAreferences"/>
        <w:rPr>
          <w:kern w:val="2"/>
        </w:rPr>
      </w:pPr>
      <w:r w:rsidRPr="003A7EA9">
        <w:rPr>
          <w:kern w:val="2"/>
        </w:rPr>
        <w:t xml:space="preserve">James, R. (2001). Participation disadvantage in Australian higher education: An analysis of some effects of geographical location and socioeconomic status. </w:t>
      </w:r>
      <w:r w:rsidRPr="003A7EA9">
        <w:rPr>
          <w:i/>
          <w:kern w:val="2"/>
        </w:rPr>
        <w:t>Higher Education</w:t>
      </w:r>
      <w:r w:rsidRPr="003A7EA9">
        <w:rPr>
          <w:kern w:val="2"/>
        </w:rPr>
        <w:t xml:space="preserve">, </w:t>
      </w:r>
      <w:r w:rsidRPr="003A7EA9">
        <w:rPr>
          <w:i/>
          <w:kern w:val="2"/>
        </w:rPr>
        <w:t>42</w:t>
      </w:r>
      <w:r w:rsidRPr="003A7EA9">
        <w:rPr>
          <w:kern w:val="2"/>
        </w:rPr>
        <w:t>(4), 455–472.</w:t>
      </w:r>
      <w:r w:rsidR="005D7007" w:rsidRPr="005D7007">
        <w:t xml:space="preserve"> </w:t>
      </w:r>
      <w:r w:rsidR="005D7007" w:rsidRPr="005D7007">
        <w:rPr>
          <w:kern w:val="2"/>
        </w:rPr>
        <w:t>https://doi.org/10.1023/A:1012264010667</w:t>
      </w:r>
    </w:p>
    <w:p w14:paraId="6447B46F" w14:textId="75EDE13A" w:rsidR="003A7EA9" w:rsidRPr="003A7EA9" w:rsidRDefault="003A7EA9" w:rsidP="003A7EA9">
      <w:pPr>
        <w:pStyle w:val="JANZSSAreferences"/>
        <w:rPr>
          <w:b/>
        </w:rPr>
      </w:pPr>
      <w:r w:rsidRPr="003A7EA9">
        <w:t>Jobs and Skills Australia. (</w:t>
      </w:r>
      <w:r w:rsidR="00634B67" w:rsidRPr="003A7EA9">
        <w:t>202</w:t>
      </w:r>
      <w:r w:rsidR="00634B67">
        <w:t>5, May 30</w:t>
      </w:r>
      <w:r w:rsidRPr="003A7EA9">
        <w:t xml:space="preserve">). </w:t>
      </w:r>
      <w:r w:rsidRPr="003A7EA9">
        <w:rPr>
          <w:i/>
        </w:rPr>
        <w:t>Current skills shortages</w:t>
      </w:r>
      <w:r w:rsidRPr="003A7EA9">
        <w:t>. Retrieved February 25, 2026, from https://www.jobsandskills.gov.au/publications/towards-national-jobs-and-skills-roadmap-summary/current-skills-shortages</w:t>
      </w:r>
    </w:p>
    <w:p w14:paraId="2DE1FD63" w14:textId="2D01260B" w:rsidR="003A7EA9" w:rsidRPr="003A7EA9" w:rsidRDefault="003A7EA9" w:rsidP="003A7EA9">
      <w:pPr>
        <w:pStyle w:val="JANZSSAreferences"/>
        <w:rPr>
          <w:b/>
        </w:rPr>
      </w:pPr>
      <w:r w:rsidRPr="00CC713D">
        <w:t>Jobs and Skills Australia. (</w:t>
      </w:r>
      <w:r w:rsidR="00CC713D">
        <w:t>n.d</w:t>
      </w:r>
      <w:r w:rsidR="009D1848">
        <w:t>.</w:t>
      </w:r>
      <w:r w:rsidRPr="00CC713D">
        <w:t>).</w:t>
      </w:r>
      <w:r w:rsidR="00EF6B02" w:rsidRPr="00EF6B02">
        <w:t xml:space="preserve"> </w:t>
      </w:r>
      <w:r w:rsidR="00EF6B02" w:rsidRPr="00EF6B02">
        <w:rPr>
          <w:i/>
        </w:rPr>
        <w:t xml:space="preserve">VET </w:t>
      </w:r>
      <w:r w:rsidR="00D9726C">
        <w:rPr>
          <w:i/>
        </w:rPr>
        <w:t>g</w:t>
      </w:r>
      <w:r w:rsidR="00EF6B02" w:rsidRPr="00EF6B02">
        <w:rPr>
          <w:i/>
        </w:rPr>
        <w:t xml:space="preserve">raduate </w:t>
      </w:r>
      <w:r w:rsidR="00D9726C">
        <w:rPr>
          <w:i/>
        </w:rPr>
        <w:t>o</w:t>
      </w:r>
      <w:r w:rsidR="00EF6B02" w:rsidRPr="00EF6B02">
        <w:rPr>
          <w:i/>
        </w:rPr>
        <w:t>utcomes 2019-20 qualification completers</w:t>
      </w:r>
      <w:r w:rsidR="003C2569" w:rsidRPr="00CC713D">
        <w:t>. Retrieved</w:t>
      </w:r>
      <w:r w:rsidRPr="00CC713D" w:rsidDel="003C2569">
        <w:t xml:space="preserve"> </w:t>
      </w:r>
      <w:r w:rsidRPr="00CC713D">
        <w:t xml:space="preserve">February </w:t>
      </w:r>
      <w:r w:rsidR="003C2569" w:rsidRPr="00CC713D">
        <w:t xml:space="preserve">25, </w:t>
      </w:r>
      <w:r w:rsidRPr="00CC713D">
        <w:t xml:space="preserve">2026, </w:t>
      </w:r>
      <w:r w:rsidR="003C2569" w:rsidRPr="00CC713D">
        <w:t xml:space="preserve">from </w:t>
      </w:r>
      <w:r w:rsidR="00AD1404" w:rsidRPr="00AD1404">
        <w:t>https://www.jobsandskills.gov.au/vet-national-data-asset/dashboard/2019-20</w:t>
      </w:r>
    </w:p>
    <w:p w14:paraId="51C28A7E" w14:textId="6CBEFFAE" w:rsidR="003A7EA9" w:rsidRPr="003A7EA9" w:rsidRDefault="003A7EA9" w:rsidP="003A7EA9">
      <w:pPr>
        <w:pStyle w:val="JANZSSAreferences"/>
        <w:rPr>
          <w:kern w:val="2"/>
        </w:rPr>
      </w:pPr>
      <w:r w:rsidRPr="003A7EA9">
        <w:rPr>
          <w:kern w:val="2"/>
        </w:rPr>
        <w:t>Johnston, O., &amp; Wildy, H. (2016). The effects of streaming in the secondary school on learning outcomes for Australian students</w:t>
      </w:r>
      <w:r w:rsidR="004C0A26" w:rsidRPr="004C0A26">
        <w:rPr>
          <w:kern w:val="2"/>
        </w:rPr>
        <w:t xml:space="preserve"> –</w:t>
      </w:r>
      <w:r w:rsidR="004C0A26">
        <w:rPr>
          <w:kern w:val="2"/>
        </w:rPr>
        <w:t xml:space="preserve"> </w:t>
      </w:r>
      <w:r w:rsidRPr="003A7EA9">
        <w:rPr>
          <w:kern w:val="2"/>
        </w:rPr>
        <w:t xml:space="preserve">A review of the international literature. </w:t>
      </w:r>
      <w:r w:rsidRPr="003A7EA9">
        <w:rPr>
          <w:i/>
          <w:kern w:val="2"/>
        </w:rPr>
        <w:t>Australian Journal of Education</w:t>
      </w:r>
      <w:r w:rsidRPr="003A7EA9">
        <w:rPr>
          <w:kern w:val="2"/>
        </w:rPr>
        <w:t xml:space="preserve">, </w:t>
      </w:r>
      <w:r w:rsidRPr="003A7EA9">
        <w:rPr>
          <w:i/>
          <w:kern w:val="2"/>
        </w:rPr>
        <w:t>60</w:t>
      </w:r>
      <w:r w:rsidRPr="003A7EA9">
        <w:rPr>
          <w:kern w:val="2"/>
        </w:rPr>
        <w:t>(1), 42–59.</w:t>
      </w:r>
      <w:r w:rsidR="004C0A26" w:rsidRPr="004C0A26">
        <w:t xml:space="preserve"> </w:t>
      </w:r>
      <w:r w:rsidR="004C0A26" w:rsidRPr="004C0A26">
        <w:rPr>
          <w:kern w:val="2"/>
        </w:rPr>
        <w:t>https://doi.org/10.1177/0004944115626522</w:t>
      </w:r>
    </w:p>
    <w:p w14:paraId="2F47E136" w14:textId="77777777" w:rsidR="003A7EA9" w:rsidRPr="003A7EA9" w:rsidRDefault="003A7EA9" w:rsidP="003A7EA9">
      <w:pPr>
        <w:pStyle w:val="JANZSSAreferences"/>
        <w:rPr>
          <w:kern w:val="2"/>
        </w:rPr>
      </w:pPr>
      <w:r w:rsidRPr="003A7EA9">
        <w:rPr>
          <w:kern w:val="2"/>
        </w:rPr>
        <w:t>Johnston, O., Wildy, H., &amp; Shand, J. (2022). Students’ contrasting their experiences of teacher expectations in streamed and mixed ability classes: A study of grade 10 students in Western Australia. </w:t>
      </w:r>
      <w:r w:rsidRPr="003A7EA9">
        <w:rPr>
          <w:i/>
          <w:kern w:val="2"/>
        </w:rPr>
        <w:t>Research Papers in Education</w:t>
      </w:r>
      <w:r w:rsidRPr="003A7EA9">
        <w:rPr>
          <w:kern w:val="2"/>
        </w:rPr>
        <w:t>, </w:t>
      </w:r>
      <w:r w:rsidRPr="003A7EA9">
        <w:rPr>
          <w:i/>
          <w:kern w:val="2"/>
        </w:rPr>
        <w:t>38</w:t>
      </w:r>
      <w:r w:rsidRPr="003A7EA9">
        <w:rPr>
          <w:kern w:val="2"/>
        </w:rPr>
        <w:t>(4), 543–567. https://doi.org/10.1080/02671522.2022.2030396</w:t>
      </w:r>
    </w:p>
    <w:p w14:paraId="73979B7F" w14:textId="2C93FB37" w:rsidR="003A7EA9" w:rsidRPr="003A7EA9" w:rsidRDefault="003A7EA9" w:rsidP="003A7EA9">
      <w:pPr>
        <w:pStyle w:val="JANZSSAreferences"/>
        <w:rPr>
          <w:kern w:val="2"/>
        </w:rPr>
      </w:pPr>
      <w:r w:rsidRPr="003A7EA9">
        <w:rPr>
          <w:kern w:val="2"/>
        </w:rPr>
        <w:t xml:space="preserve">Joseph, R. (2023). </w:t>
      </w:r>
      <w:r w:rsidRPr="003A7EA9">
        <w:rPr>
          <w:i/>
          <w:kern w:val="2"/>
        </w:rPr>
        <w:t>ATAR’s rising relevance: Exploring admission standards and the falling completion rates of school leavers at Australia’s universities</w:t>
      </w:r>
      <w:r w:rsidRPr="003A7EA9">
        <w:rPr>
          <w:kern w:val="2"/>
        </w:rPr>
        <w:t>. Centre for Independent Studies. https://www.cis.org.au/publication/atars-rising-relevance-admission-standards-and-completion-rates/</w:t>
      </w:r>
    </w:p>
    <w:p w14:paraId="1A3550E6" w14:textId="15889CF3" w:rsidR="003A7EA9" w:rsidRPr="003A7EA9" w:rsidRDefault="003A7EA9" w:rsidP="003A7EA9">
      <w:pPr>
        <w:pStyle w:val="JANZSSAreferences"/>
      </w:pPr>
      <w:r w:rsidRPr="003A7EA9">
        <w:rPr>
          <w:kern w:val="2"/>
        </w:rPr>
        <w:t xml:space="preserve">Keating, J., Savage, G. C., &amp; Polesel, J. (2012). Letting schools off the hook? Exploring the role of Australian secondary schools in the COAG Year 12 attainment agenda. </w:t>
      </w:r>
      <w:r w:rsidRPr="003A7EA9">
        <w:rPr>
          <w:i/>
          <w:kern w:val="2"/>
        </w:rPr>
        <w:t>Journal of Education Policy</w:t>
      </w:r>
      <w:r w:rsidRPr="003A7EA9">
        <w:rPr>
          <w:kern w:val="2"/>
        </w:rPr>
        <w:t xml:space="preserve">, </w:t>
      </w:r>
      <w:r w:rsidRPr="003A7EA9">
        <w:rPr>
          <w:i/>
          <w:kern w:val="2"/>
        </w:rPr>
        <w:t>28</w:t>
      </w:r>
      <w:r w:rsidRPr="003A7EA9">
        <w:rPr>
          <w:kern w:val="2"/>
        </w:rPr>
        <w:t>(2), 268–286. https://doi.org/10.1080/02680939.2012.730628</w:t>
      </w:r>
    </w:p>
    <w:p w14:paraId="0A6D417A" w14:textId="534A6205" w:rsidR="003A7EA9" w:rsidRPr="003A7EA9" w:rsidRDefault="003A7EA9" w:rsidP="003A7EA9">
      <w:pPr>
        <w:pStyle w:val="JANZSSAreferences"/>
        <w:rPr>
          <w:kern w:val="2"/>
        </w:rPr>
      </w:pPr>
      <w:r w:rsidRPr="003A7EA9">
        <w:rPr>
          <w:kern w:val="2"/>
        </w:rPr>
        <w:t xml:space="preserve">Kemp, D., &amp; Norton, A. (2014). </w:t>
      </w:r>
      <w:r w:rsidRPr="003A7EA9">
        <w:rPr>
          <w:i/>
          <w:kern w:val="2"/>
        </w:rPr>
        <w:t>Review of the demand driven funding system: Report</w:t>
      </w:r>
      <w:r w:rsidRPr="003A7EA9">
        <w:rPr>
          <w:kern w:val="2"/>
        </w:rPr>
        <w:t>. Australian Department of Education.</w:t>
      </w:r>
      <w:r w:rsidR="00AD2701" w:rsidRPr="00AD2701">
        <w:t xml:space="preserve"> </w:t>
      </w:r>
      <w:r w:rsidR="00AD2701" w:rsidRPr="00AD2701">
        <w:rPr>
          <w:kern w:val="2"/>
        </w:rPr>
        <w:t>https://www.education.gov.au/higher-education-reviews-and-consultations/report-review-demand-driven-funding-system</w:t>
      </w:r>
    </w:p>
    <w:p w14:paraId="1C75A875" w14:textId="3ADB2469" w:rsidR="003A7EA9" w:rsidRPr="003A7EA9" w:rsidRDefault="003A7EA9" w:rsidP="003A7EA9">
      <w:pPr>
        <w:pStyle w:val="JANZSSAreferences"/>
      </w:pPr>
      <w:r w:rsidRPr="003A7EA9">
        <w:t xml:space="preserve">Knight, E., &amp; Hodge, S. (2021). </w:t>
      </w:r>
      <w:r w:rsidRPr="003A7EA9">
        <w:rPr>
          <w:i/>
        </w:rPr>
        <w:t>The best of both worlds? Integrating VET and higher education</w:t>
      </w:r>
      <w:r w:rsidR="00581592">
        <w:rPr>
          <w:i/>
        </w:rPr>
        <w:t>.</w:t>
      </w:r>
      <w:r w:rsidRPr="003A7EA9">
        <w:t xml:space="preserve"> National Centre for Vocational Education Research.</w:t>
      </w:r>
      <w:r w:rsidR="00581592" w:rsidRPr="00581592">
        <w:t xml:space="preserve"> https://www.ncver.edu.au/__data/assets/pdf_file/0043/9669751/The-best-of-both-worlds-Integrating-VET-and-higher-education.pdf</w:t>
      </w:r>
    </w:p>
    <w:p w14:paraId="68CC60C0" w14:textId="2DE75ED9" w:rsidR="003A7EA9" w:rsidRPr="003A7EA9" w:rsidRDefault="003A7EA9" w:rsidP="003A7EA9">
      <w:pPr>
        <w:pStyle w:val="JANZSSAreferences"/>
      </w:pPr>
      <w:r w:rsidRPr="003A7EA9">
        <w:t xml:space="preserve">Koshy, P. (2020). </w:t>
      </w:r>
      <w:r w:rsidRPr="003A7EA9">
        <w:rPr>
          <w:i/>
        </w:rPr>
        <w:t>Equity student participation in Australian higher education: 2014–2019</w:t>
      </w:r>
      <w:r w:rsidRPr="003A7EA9">
        <w:t>. National Centre for Student Equity in Higher Education, Curtin University.</w:t>
      </w:r>
      <w:r w:rsidR="00637D32" w:rsidRPr="00637D32">
        <w:t xml:space="preserve"> https://www.acses.edu.au/ncsehe-briefing-note-equity-student-participation-australian-higher-education-2014-2019/</w:t>
      </w:r>
    </w:p>
    <w:p w14:paraId="03A89433" w14:textId="77777777" w:rsidR="003A7EA9" w:rsidRPr="003A7EA9" w:rsidRDefault="003A7EA9" w:rsidP="003A7EA9">
      <w:pPr>
        <w:pStyle w:val="JANZSSAreferences"/>
      </w:pPr>
      <w:r w:rsidRPr="003A7EA9">
        <w:t xml:space="preserve">Krause, K., Vick, M., Boon, H., Bland, D., &amp; Clark, J. (2009). </w:t>
      </w:r>
      <w:r w:rsidRPr="003A7EA9">
        <w:rPr>
          <w:i/>
        </w:rPr>
        <w:t>A fair go beyond the school gate? Systemic factors affecting participation and attainment in tertiary education by Queensland students from LSES backgrounds</w:t>
      </w:r>
      <w:r w:rsidRPr="003A7EA9">
        <w:t>. Queensland Department of Education, Training and the Arts.</w:t>
      </w:r>
    </w:p>
    <w:p w14:paraId="754A11F6" w14:textId="7AC7C126" w:rsidR="003A7EA9" w:rsidRPr="003A7EA9" w:rsidRDefault="003A7EA9" w:rsidP="003A7EA9">
      <w:pPr>
        <w:pStyle w:val="JANZSSAreferences"/>
      </w:pPr>
      <w:r w:rsidRPr="003A7EA9">
        <w:t xml:space="preserve">Lamb, S., Huo, S., </w:t>
      </w:r>
      <w:proofErr w:type="spellStart"/>
      <w:r w:rsidRPr="003A7EA9">
        <w:t>Walstab</w:t>
      </w:r>
      <w:proofErr w:type="spellEnd"/>
      <w:r w:rsidRPr="003A7EA9">
        <w:t xml:space="preserve">, A., Wade, A., Maire, Q., </w:t>
      </w:r>
      <w:proofErr w:type="spellStart"/>
      <w:r w:rsidRPr="003A7EA9">
        <w:t>Doecke</w:t>
      </w:r>
      <w:proofErr w:type="spellEnd"/>
      <w:r w:rsidRPr="003A7EA9">
        <w:t xml:space="preserve">, E., Jackson, J., &amp; Endekov, Z. (2020). </w:t>
      </w:r>
      <w:r w:rsidRPr="003A7EA9">
        <w:rPr>
          <w:i/>
        </w:rPr>
        <w:t>Educational opportunity in Australia 2020: Who succeeds and who misses out</w:t>
      </w:r>
      <w:r w:rsidRPr="003A7EA9">
        <w:t>. Centre for International Research on Education Systems, Victoria University.</w:t>
      </w:r>
      <w:r w:rsidR="00187A4E" w:rsidRPr="00187A4E">
        <w:t xml:space="preserve"> https://www.vu.edu.au/sites/default/files/educational-opportunity-in-australia-2020.pdf</w:t>
      </w:r>
    </w:p>
    <w:p w14:paraId="359FF55E" w14:textId="280AF919" w:rsidR="003A7EA9" w:rsidRPr="003A7EA9" w:rsidRDefault="003A7EA9" w:rsidP="003A7EA9">
      <w:pPr>
        <w:pStyle w:val="JANZSSAreferences"/>
      </w:pPr>
      <w:r w:rsidRPr="003A7EA9">
        <w:t xml:space="preserve">Li, I. W., Carroll, D. R., &amp; Jackson, D. (2022). </w:t>
      </w:r>
      <w:r w:rsidRPr="003A7EA9">
        <w:rPr>
          <w:i/>
        </w:rPr>
        <w:t>Equity implications of non-ATAR pathways: Participation, academic outcomes, and student experience</w:t>
      </w:r>
      <w:r w:rsidRPr="003A7EA9">
        <w:t>. National Centre for Student Equity in Higher Education, Curtin University.</w:t>
      </w:r>
      <w:r w:rsidR="00F86A41" w:rsidRPr="00F86A41">
        <w:t xml:space="preserve"> https://www.acses.edu.au/publication/equity-implications-of-non-atar-pathways-participation-academic-outcomes-and-student-experience/</w:t>
      </w:r>
    </w:p>
    <w:p w14:paraId="5494D94F" w14:textId="201D466B" w:rsidR="003A7EA9" w:rsidRPr="003A7EA9" w:rsidRDefault="003A7EA9" w:rsidP="003A7EA9">
      <w:pPr>
        <w:pStyle w:val="JANZSSAreferences"/>
      </w:pPr>
      <w:r w:rsidRPr="003A7EA9">
        <w:lastRenderedPageBreak/>
        <w:t>Luke, A., Cazden, C., Coopes, R., Klenowski, V., Ladwig, J., Lester, J., Macdonald, S., Phillips, D., Shield, P., Spina, N., Theroux, P</w:t>
      </w:r>
      <w:r w:rsidR="00D9726C">
        <w:t>.</w:t>
      </w:r>
      <w:r w:rsidR="00B042CF">
        <w:t>, Tones, M., Villegas, M., &amp; Woods</w:t>
      </w:r>
      <w:r w:rsidR="00FB44FD">
        <w:t>, A.</w:t>
      </w:r>
      <w:r w:rsidRPr="003A7EA9">
        <w:t xml:space="preserve"> (2013). </w:t>
      </w:r>
      <w:r w:rsidRPr="003A7EA9">
        <w:rPr>
          <w:i/>
        </w:rPr>
        <w:t>A summative evaluation of the Stronger Smarter Learning Communities project: 2013 report</w:t>
      </w:r>
      <w:r w:rsidRPr="00D9726C">
        <w:rPr>
          <w:iCs/>
        </w:rPr>
        <w:t xml:space="preserve"> (Vols. 1–2)</w:t>
      </w:r>
      <w:r w:rsidRPr="00F41491">
        <w:rPr>
          <w:iCs/>
        </w:rPr>
        <w:t>.</w:t>
      </w:r>
      <w:r w:rsidRPr="003A7EA9">
        <w:t xml:space="preserve"> Queensland University of Technology.</w:t>
      </w:r>
      <w:r w:rsidR="00F41491" w:rsidRPr="00F41491">
        <w:t xml:space="preserve"> https://eprints.qut.edu.au/59535/</w:t>
      </w:r>
    </w:p>
    <w:p w14:paraId="6D619472" w14:textId="5D150286" w:rsidR="003A7EA9" w:rsidRPr="003A7EA9" w:rsidRDefault="003A7EA9" w:rsidP="003A7EA9">
      <w:pPr>
        <w:pStyle w:val="JANZSSAreferences"/>
      </w:pPr>
      <w:r w:rsidRPr="003A7EA9">
        <w:t xml:space="preserve">Macqueen, S. (2011). Academic outcomes from between-class achievement grouping: The Australian primary context. </w:t>
      </w:r>
      <w:r w:rsidRPr="003A7EA9">
        <w:rPr>
          <w:i/>
        </w:rPr>
        <w:t>The Australian Educational Researcher</w:t>
      </w:r>
      <w:r w:rsidRPr="003A7EA9">
        <w:t xml:space="preserve">, </w:t>
      </w:r>
      <w:r w:rsidRPr="003A7EA9">
        <w:rPr>
          <w:i/>
        </w:rPr>
        <w:t>39</w:t>
      </w:r>
      <w:r w:rsidRPr="003A7EA9">
        <w:t>(1), 59–73.</w:t>
      </w:r>
      <w:r w:rsidR="002267A0" w:rsidRPr="002267A0">
        <w:t xml:space="preserve"> https://doi.org/10.1007/s13384-011-0047-3</w:t>
      </w:r>
    </w:p>
    <w:p w14:paraId="5388D711" w14:textId="67ACA99F" w:rsidR="003A7EA9" w:rsidRPr="003A7EA9" w:rsidRDefault="003A7EA9" w:rsidP="003A7EA9">
      <w:pPr>
        <w:pStyle w:val="JANZSSAreferences"/>
      </w:pPr>
      <w:r w:rsidRPr="003A7EA9">
        <w:t xml:space="preserve">Misko, J., Chew, E., &amp; Korbel, P. (2020). </w:t>
      </w:r>
      <w:r w:rsidRPr="003A7EA9">
        <w:rPr>
          <w:i/>
        </w:rPr>
        <w:t>VET for secondary school students: Post-school employment and further training destinations</w:t>
      </w:r>
      <w:r w:rsidRPr="003A7EA9">
        <w:t>. National Centre for Vocational Education Research.</w:t>
      </w:r>
      <w:r w:rsidR="002267A0" w:rsidRPr="002267A0">
        <w:t xml:space="preserve"> https://www.ncver.edu.au/research-and-statistics/publications/all-publications/vet-for-secondary-school-students-post-school-employment-and-further-training-destinations</w:t>
      </w:r>
    </w:p>
    <w:p w14:paraId="43AF988B" w14:textId="3CC4492C" w:rsidR="003A7EA9" w:rsidRPr="003A7EA9" w:rsidRDefault="003A7EA9" w:rsidP="003A7EA9">
      <w:pPr>
        <w:pStyle w:val="JANZSSAreferences"/>
      </w:pPr>
      <w:r w:rsidRPr="003A7EA9">
        <w:t>National Centre for Vocational Education Research. (202</w:t>
      </w:r>
      <w:r w:rsidR="00C10032">
        <w:t>4</w:t>
      </w:r>
      <w:r w:rsidRPr="003A7EA9">
        <w:t xml:space="preserve">). </w:t>
      </w:r>
      <w:r w:rsidRPr="003A7EA9">
        <w:rPr>
          <w:i/>
        </w:rPr>
        <w:t>VET in schools 2023</w:t>
      </w:r>
      <w:r w:rsidRPr="003A7EA9">
        <w:t>. https://www.ncver.edu.au/__data/assets/pdf_file/0044/9688904/VET-in-Schools-2023.pdf</w:t>
      </w:r>
    </w:p>
    <w:p w14:paraId="427BDF84" w14:textId="4F0E0386" w:rsidR="003A7EA9" w:rsidRPr="006949F9" w:rsidRDefault="003A7EA9" w:rsidP="003A7EA9">
      <w:pPr>
        <w:pStyle w:val="JANZSSAreferences"/>
        <w:rPr>
          <w:iCs/>
        </w:rPr>
      </w:pPr>
      <w:r w:rsidRPr="003A7EA9">
        <w:t>Nous Group. (2023).</w:t>
      </w:r>
      <w:r w:rsidRPr="006949F9">
        <w:rPr>
          <w:i/>
        </w:rPr>
        <w:t xml:space="preserve"> </w:t>
      </w:r>
      <w:r w:rsidR="004D3C3D" w:rsidRPr="006949F9">
        <w:rPr>
          <w:i/>
        </w:rPr>
        <w:t xml:space="preserve">Review of </w:t>
      </w:r>
      <w:r w:rsidR="005B1809" w:rsidRPr="006949F9">
        <w:rPr>
          <w:i/>
        </w:rPr>
        <w:t>p</w:t>
      </w:r>
      <w:r w:rsidR="004D3C3D" w:rsidRPr="006949F9">
        <w:rPr>
          <w:i/>
        </w:rPr>
        <w:t xml:space="preserve">olicy </w:t>
      </w:r>
      <w:r w:rsidR="005B1809" w:rsidRPr="006949F9">
        <w:rPr>
          <w:i/>
        </w:rPr>
        <w:t>i</w:t>
      </w:r>
      <w:r w:rsidR="004D3C3D" w:rsidRPr="006949F9">
        <w:rPr>
          <w:i/>
        </w:rPr>
        <w:t>ntervention</w:t>
      </w:r>
      <w:r w:rsidR="005B1809" w:rsidRPr="006949F9">
        <w:rPr>
          <w:i/>
        </w:rPr>
        <w:t>s</w:t>
      </w:r>
      <w:r w:rsidR="004D3C3D" w:rsidRPr="006949F9">
        <w:rPr>
          <w:i/>
        </w:rPr>
        <w:t xml:space="preserve"> to increase </w:t>
      </w:r>
      <w:r w:rsidR="00950B0C" w:rsidRPr="006949F9">
        <w:rPr>
          <w:i/>
        </w:rPr>
        <w:t>socio-economic diversity and improve learning outcomes: Report commissioned by the Independent Expert Panel for the Review to Inform a Better and Fairer Education System</w:t>
      </w:r>
      <w:r w:rsidR="006949F9">
        <w:rPr>
          <w:i/>
        </w:rPr>
        <w:t>.</w:t>
      </w:r>
      <w:r w:rsidR="00554064" w:rsidRPr="00554064">
        <w:t xml:space="preserve"> Australian Government Department of Education.</w:t>
      </w:r>
      <w:r w:rsidR="004D3C3D" w:rsidRPr="003A7EA9">
        <w:rPr>
          <w:i/>
        </w:rPr>
        <w:t xml:space="preserve"> </w:t>
      </w:r>
      <w:r w:rsidR="006949F9" w:rsidRPr="006949F9">
        <w:rPr>
          <w:iCs/>
        </w:rPr>
        <w:t>https://www.education.gov.au/review-inform-better-and-fairer-education-system/resources/review-policy-interventions-increase-socioeconomic-diversity-and-improve-learning-outcomes</w:t>
      </w:r>
    </w:p>
    <w:p w14:paraId="253AAEAF" w14:textId="2CF63C21" w:rsidR="003A7EA9" w:rsidRPr="003A7EA9" w:rsidRDefault="003A7EA9" w:rsidP="003A7EA9">
      <w:pPr>
        <w:pStyle w:val="JANZSSAreferences"/>
      </w:pPr>
      <w:r w:rsidRPr="003A7EA9">
        <w:t xml:space="preserve">O’Connell, M., Singhania, A., Hamdorf, M., &amp; Cazaly, C. (2022). </w:t>
      </w:r>
      <w:r w:rsidRPr="003A7EA9">
        <w:rPr>
          <w:i/>
        </w:rPr>
        <w:t>Pathways or goat tracks</w:t>
      </w:r>
      <w:r w:rsidR="00E77546" w:rsidRPr="00E77546">
        <w:rPr>
          <w:i/>
        </w:rPr>
        <w:t xml:space="preserve"> –</w:t>
      </w:r>
      <w:r w:rsidR="00E77546">
        <w:rPr>
          <w:i/>
        </w:rPr>
        <w:t xml:space="preserve"> </w:t>
      </w:r>
      <w:r w:rsidRPr="003A7EA9">
        <w:rPr>
          <w:i/>
        </w:rPr>
        <w:t>Non-ATAR university entrance</w:t>
      </w:r>
      <w:r w:rsidRPr="003A7EA9">
        <w:t>. National Centre for Student Equity in Higher Education. https://www.acses.edu.au/publication/pathways-or-goat-tracks-non-atar-university-entrance/</w:t>
      </w:r>
    </w:p>
    <w:p w14:paraId="574C4059" w14:textId="690E7ED3" w:rsidR="003A7EA9" w:rsidRPr="003A7EA9" w:rsidRDefault="003A7EA9" w:rsidP="003A7EA9">
      <w:pPr>
        <w:pStyle w:val="JANZSSAreferences"/>
      </w:pPr>
      <w:r w:rsidRPr="003A7EA9">
        <w:t xml:space="preserve">O’Connor, K., Roberts, P., &amp; Di Gregorio, E. (2025). Equity, curriculum form and state differences in Australian senior secondary education. </w:t>
      </w:r>
      <w:r w:rsidRPr="003A7EA9">
        <w:rPr>
          <w:i/>
        </w:rPr>
        <w:t>The Australian Educational Researcher</w:t>
      </w:r>
      <w:r w:rsidRPr="003A7EA9">
        <w:t xml:space="preserve">, </w:t>
      </w:r>
      <w:r w:rsidRPr="003A7EA9">
        <w:rPr>
          <w:i/>
        </w:rPr>
        <w:t>52</w:t>
      </w:r>
      <w:r w:rsidRPr="003A7EA9">
        <w:t>(2), 1041–1063.</w:t>
      </w:r>
      <w:r w:rsidR="00E77546" w:rsidRPr="00E77546">
        <w:t xml:space="preserve"> https://doi.org/10.1007/s13384-024-00752-x</w:t>
      </w:r>
    </w:p>
    <w:p w14:paraId="234D68D5" w14:textId="363DCF92" w:rsidR="003A7EA9" w:rsidRPr="003A7EA9" w:rsidRDefault="003A7EA9" w:rsidP="003A7EA9">
      <w:pPr>
        <w:pStyle w:val="JANZSSAreferences"/>
      </w:pPr>
      <w:r w:rsidRPr="003A7EA9">
        <w:t>Organisation for Economic Co-operation and Development</w:t>
      </w:r>
      <w:r w:rsidR="00D04DA4">
        <w:t xml:space="preserve"> (OECD)</w:t>
      </w:r>
      <w:r w:rsidRPr="003A7EA9">
        <w:t xml:space="preserve">. (2012). </w:t>
      </w:r>
      <w:r w:rsidRPr="003A7EA9">
        <w:rPr>
          <w:i/>
        </w:rPr>
        <w:t>Equity and quality in education: Supporting disadvantaged students and schools</w:t>
      </w:r>
      <w:r w:rsidRPr="003A7EA9">
        <w:t>. OECD Publishing. https://doi.org/10.1787/9789264130852-en</w:t>
      </w:r>
    </w:p>
    <w:p w14:paraId="6BBB6654" w14:textId="36D356DF" w:rsidR="003A7EA9" w:rsidRPr="003A7EA9" w:rsidRDefault="003A7EA9" w:rsidP="003A7EA9">
      <w:pPr>
        <w:pStyle w:val="JANZSSAreferences"/>
      </w:pPr>
      <w:r w:rsidRPr="003A7EA9">
        <w:t>Organisation for Economic Co-operation and Development</w:t>
      </w:r>
      <w:r w:rsidR="00D04DA4">
        <w:t xml:space="preserve"> (OECD)</w:t>
      </w:r>
      <w:r w:rsidRPr="003A7EA9">
        <w:t xml:space="preserve">. (2025). </w:t>
      </w:r>
      <w:r w:rsidRPr="003A7EA9">
        <w:rPr>
          <w:i/>
        </w:rPr>
        <w:t xml:space="preserve">Education </w:t>
      </w:r>
      <w:proofErr w:type="gramStart"/>
      <w:r w:rsidRPr="003A7EA9">
        <w:rPr>
          <w:i/>
        </w:rPr>
        <w:t>at a glance</w:t>
      </w:r>
      <w:proofErr w:type="gramEnd"/>
      <w:r w:rsidRPr="003A7EA9">
        <w:rPr>
          <w:i/>
        </w:rPr>
        <w:t xml:space="preserve"> 2025: OECD indicators</w:t>
      </w:r>
      <w:r w:rsidRPr="003A7EA9">
        <w:t>. OECD Publishing. https://doi.org/10.1787/1c0d9c79-en</w:t>
      </w:r>
    </w:p>
    <w:p w14:paraId="0F519224" w14:textId="77777777" w:rsidR="003A7EA9" w:rsidRPr="003A7EA9" w:rsidRDefault="003A7EA9" w:rsidP="003A7EA9">
      <w:pPr>
        <w:pStyle w:val="JANZSSAreferences"/>
      </w:pPr>
      <w:r w:rsidRPr="003A7EA9">
        <w:t xml:space="preserve">Pilcher, S., </w:t>
      </w:r>
      <w:proofErr w:type="spellStart"/>
      <w:r w:rsidRPr="003A7EA9">
        <w:t>Walstab</w:t>
      </w:r>
      <w:proofErr w:type="spellEnd"/>
      <w:r w:rsidRPr="003A7EA9">
        <w:t xml:space="preserve">, A., Hildebrandt, M., Brisbane, R., Ta, B. &amp; Van Dyke, N. (2025). </w:t>
      </w:r>
      <w:r w:rsidRPr="003A7EA9">
        <w:rPr>
          <w:i/>
          <w:iCs/>
        </w:rPr>
        <w:t>Assessing the</w:t>
      </w:r>
      <w:r w:rsidRPr="003A7EA9">
        <w:t xml:space="preserve"> </w:t>
      </w:r>
      <w:r w:rsidRPr="003A7EA9">
        <w:rPr>
          <w:i/>
          <w:iCs/>
        </w:rPr>
        <w:t xml:space="preserve">ATAR: Exploring the use of the Australian Tertiary Admission Rank. </w:t>
      </w:r>
      <w:r w:rsidRPr="003A7EA9">
        <w:t>Mitchell Institute, Victoria University. https://www.vu.edu.au/mitchell-institute/research-focus-areas/tertiary-education/assessing-the-atar-exploring-the-use-of-the-australian-tertiary-admission-rank-atar</w:t>
      </w:r>
    </w:p>
    <w:p w14:paraId="476018AA" w14:textId="49289B6F" w:rsidR="003A7EA9" w:rsidRPr="003A7EA9" w:rsidRDefault="003A7EA9" w:rsidP="003A7EA9">
      <w:pPr>
        <w:pStyle w:val="JANZSSAreferences"/>
      </w:pPr>
      <w:r w:rsidRPr="003A7EA9">
        <w:t xml:space="preserve">Polesel, J., Gillis, S., Suryani, A., Leahy, M., &amp; Koh, S. (2021). The Australian Senior Certificates: </w:t>
      </w:r>
      <w:r w:rsidR="009410F3">
        <w:t>A</w:t>
      </w:r>
      <w:r w:rsidRPr="003A7EA9">
        <w:t xml:space="preserve">fter 50 years of reforms. </w:t>
      </w:r>
      <w:r w:rsidRPr="003A7EA9">
        <w:rPr>
          <w:i/>
        </w:rPr>
        <w:t>The Australian Educational Researcher</w:t>
      </w:r>
      <w:r w:rsidRPr="00A02D61">
        <w:t>,</w:t>
      </w:r>
      <w:r w:rsidRPr="003A7EA9">
        <w:rPr>
          <w:i/>
        </w:rPr>
        <w:t xml:space="preserve"> 48</w:t>
      </w:r>
      <w:r w:rsidRPr="003A7EA9">
        <w:t>(3), 565</w:t>
      </w:r>
      <w:r w:rsidR="009410F3">
        <w:t>–</w:t>
      </w:r>
      <w:r w:rsidRPr="003A7EA9">
        <w:t>584. https://doi.org/10.1007/s13384-020-00403-x</w:t>
      </w:r>
    </w:p>
    <w:p w14:paraId="4C9F0454" w14:textId="481EAAE1" w:rsidR="003A7EA9" w:rsidRPr="003A7EA9" w:rsidRDefault="003A7EA9" w:rsidP="003A7EA9">
      <w:pPr>
        <w:pStyle w:val="JANZSSAreferences"/>
      </w:pPr>
      <w:r w:rsidRPr="00BF19A3">
        <w:t xml:space="preserve">Queensland Department of Education. (2023). </w:t>
      </w:r>
      <w:r w:rsidR="006949F9" w:rsidRPr="006949F9">
        <w:rPr>
          <w:i/>
        </w:rPr>
        <w:t>2023 Next Step survey: Destinations of Year 12 completers from 2022 in Queensland</w:t>
      </w:r>
      <w:r w:rsidRPr="00BF19A3">
        <w:t xml:space="preserve">. </w:t>
      </w:r>
      <w:r w:rsidR="006949F9" w:rsidRPr="006949F9">
        <w:t>https://qed.qld.gov.au/our-publications/reports/statistics/documents/ns-2023-statewide-summary.pdf</w:t>
      </w:r>
    </w:p>
    <w:p w14:paraId="0B75EACD" w14:textId="266D3766" w:rsidR="003A7EA9" w:rsidRPr="003A7EA9" w:rsidRDefault="003A7EA9" w:rsidP="003A7EA9">
      <w:pPr>
        <w:pStyle w:val="JANZSSAreferences"/>
        <w:rPr>
          <w:rStyle w:val="Hyperlink"/>
        </w:rPr>
      </w:pPr>
      <w:r w:rsidRPr="003A7EA9">
        <w:t xml:space="preserve">Queensland Tertiary Admissions Centre. (2022). </w:t>
      </w:r>
      <w:r w:rsidRPr="003A7EA9">
        <w:rPr>
          <w:i/>
        </w:rPr>
        <w:t>ATAR Report 2022</w:t>
      </w:r>
      <w:r w:rsidRPr="003A7EA9">
        <w:t>. https://www.qtac.edu.au/wp-content/staticfiles/QTAC-ATAR-Report-2022-202301.pdf</w:t>
      </w:r>
    </w:p>
    <w:p w14:paraId="45BD7D9C" w14:textId="27105BDE" w:rsidR="003A7EA9" w:rsidRPr="003A7EA9" w:rsidRDefault="003A7EA9" w:rsidP="003A7EA9">
      <w:pPr>
        <w:pStyle w:val="JANZSSAreferences"/>
      </w:pPr>
      <w:r w:rsidRPr="003A7EA9">
        <w:t xml:space="preserve">Semo, R., Chew, E., Dowling, K., Forrest, C., &amp; </w:t>
      </w:r>
      <w:proofErr w:type="spellStart"/>
      <w:r w:rsidRPr="003A7EA9">
        <w:t>Parvazian</w:t>
      </w:r>
      <w:proofErr w:type="spellEnd"/>
      <w:r w:rsidRPr="003A7EA9">
        <w:t xml:space="preserve">, S. (2024). </w:t>
      </w:r>
      <w:r w:rsidRPr="003A7EA9">
        <w:rPr>
          <w:i/>
        </w:rPr>
        <w:t>Is the die cast? Investigating the relationship between prior academic achievement and tertiary entrance performance</w:t>
      </w:r>
      <w:r w:rsidRPr="003A7EA9">
        <w:t>. National Centre for Vocational Education Research.</w:t>
      </w:r>
      <w:r w:rsidR="00250144" w:rsidRPr="00250144">
        <w:t xml:space="preserve"> https://www.ncver.edu.au/__data/assets/pdf_file/0052/9689479/Is-the-die-cast-Investigating-the-relationship-between-prior-academic-achievement-and-tertiary-entrance-performance.pdf</w:t>
      </w:r>
    </w:p>
    <w:p w14:paraId="118899EC" w14:textId="734B3796" w:rsidR="003A7EA9" w:rsidRPr="003A7EA9" w:rsidRDefault="003A7EA9" w:rsidP="003A7EA9">
      <w:pPr>
        <w:pStyle w:val="JANZSSAreferences"/>
      </w:pPr>
      <w:proofErr w:type="spellStart"/>
      <w:r w:rsidRPr="003A7EA9">
        <w:t>Shergold</w:t>
      </w:r>
      <w:proofErr w:type="spellEnd"/>
      <w:r w:rsidRPr="003A7EA9">
        <w:t xml:space="preserve">, P., Calma, T., Russo, S., Walton, P., Westacott, J., Zoellner, D., &amp; O'Reilly, P. (2020). </w:t>
      </w:r>
      <w:r w:rsidRPr="003A7EA9">
        <w:rPr>
          <w:i/>
        </w:rPr>
        <w:t>Looking to the future: Report of the review of senior secondary pathways into work, further education and training</w:t>
      </w:r>
      <w:r w:rsidRPr="003A7EA9">
        <w:t xml:space="preserve">. Education </w:t>
      </w:r>
      <w:r w:rsidR="00425DB0">
        <w:t>Council</w:t>
      </w:r>
      <w:r w:rsidR="00425DB0" w:rsidRPr="003A7EA9">
        <w:t xml:space="preserve"> </w:t>
      </w:r>
      <w:r w:rsidRPr="003A7EA9">
        <w:t>Australia. https://apo.org.au/node/307138</w:t>
      </w:r>
    </w:p>
    <w:p w14:paraId="4085BAD1" w14:textId="0A995C1D" w:rsidR="003A7EA9" w:rsidRPr="003A7EA9" w:rsidRDefault="003A7EA9" w:rsidP="003A7EA9">
      <w:pPr>
        <w:pStyle w:val="JANZSSAreferences"/>
      </w:pPr>
      <w:r w:rsidRPr="003A7EA9">
        <w:t xml:space="preserve">Spina, N. (2019). Once upon a time: </w:t>
      </w:r>
      <w:r w:rsidR="002858AB">
        <w:t>E</w:t>
      </w:r>
      <w:r w:rsidRPr="003A7EA9">
        <w:t xml:space="preserve">xamining ability grouping and differentiation practices in cultures of evidence-based decision making. </w:t>
      </w:r>
      <w:r w:rsidRPr="003A7EA9">
        <w:rPr>
          <w:i/>
        </w:rPr>
        <w:t>Cambridge Journal of Education</w:t>
      </w:r>
      <w:r w:rsidRPr="003A7EA9">
        <w:t xml:space="preserve">, </w:t>
      </w:r>
      <w:r w:rsidRPr="003A7EA9">
        <w:rPr>
          <w:i/>
        </w:rPr>
        <w:t>49</w:t>
      </w:r>
      <w:r w:rsidRPr="003A7EA9">
        <w:t>(3), 329–348.</w:t>
      </w:r>
      <w:r w:rsidR="002858AB" w:rsidRPr="002858AB">
        <w:t xml:space="preserve"> https://doi.org/10.1080/0305764X.2018.1533525</w:t>
      </w:r>
    </w:p>
    <w:p w14:paraId="655CB3B9" w14:textId="77777777" w:rsidR="003A7EA9" w:rsidRPr="003A7EA9" w:rsidRDefault="003A7EA9" w:rsidP="003A7EA9">
      <w:pPr>
        <w:pStyle w:val="JANZSSAreferences"/>
      </w:pPr>
      <w:r w:rsidRPr="003A7EA9">
        <w:t xml:space="preserve">Stevens, P., &amp; Vermeersch, H. (2010). Streaming in Flemish secondary schools: Exploring teachers' perceptions of and adaptations to students in different streams. </w:t>
      </w:r>
      <w:r w:rsidRPr="003A7EA9">
        <w:rPr>
          <w:i/>
        </w:rPr>
        <w:t>Oxford Review of Education</w:t>
      </w:r>
      <w:r w:rsidRPr="003A7EA9">
        <w:t xml:space="preserve">, </w:t>
      </w:r>
      <w:r w:rsidRPr="003A7EA9">
        <w:rPr>
          <w:i/>
        </w:rPr>
        <w:t>36</w:t>
      </w:r>
      <w:r w:rsidRPr="003A7EA9">
        <w:t>(3), 267–284. https://doi.org/10.1080/03054981003629862</w:t>
      </w:r>
    </w:p>
    <w:p w14:paraId="3067AB35" w14:textId="77777777" w:rsidR="003A7EA9" w:rsidRPr="003A7EA9" w:rsidRDefault="003A7EA9" w:rsidP="003A7EA9">
      <w:pPr>
        <w:pStyle w:val="JANZSSAreferences"/>
      </w:pPr>
      <w:r w:rsidRPr="003A7EA9">
        <w:lastRenderedPageBreak/>
        <w:t xml:space="preserve">Strathdee, R. (2024). The new localism, social reproduction, and reform of school-based vocational education in the state of Victoria, Australia. </w:t>
      </w:r>
      <w:r w:rsidRPr="003A7EA9">
        <w:rPr>
          <w:i/>
        </w:rPr>
        <w:t>Journal of Vocational Education &amp; Training</w:t>
      </w:r>
      <w:r w:rsidRPr="003A7EA9">
        <w:t xml:space="preserve">, </w:t>
      </w:r>
      <w:r w:rsidRPr="003A7EA9">
        <w:rPr>
          <w:i/>
        </w:rPr>
        <w:t>76</w:t>
      </w:r>
      <w:r w:rsidRPr="003A7EA9">
        <w:t>(5), 1224–1243. https://doi.org/10.1080/13636820.2023.2174585</w:t>
      </w:r>
    </w:p>
    <w:p w14:paraId="141FD26B" w14:textId="446096B4" w:rsidR="003A7EA9" w:rsidRPr="003A7EA9" w:rsidRDefault="003A7EA9" w:rsidP="003A7EA9">
      <w:pPr>
        <w:pStyle w:val="JANZSSAreferences"/>
      </w:pPr>
      <w:r w:rsidRPr="003A7EA9">
        <w:t>TAFE Queensland. (</w:t>
      </w:r>
      <w:r w:rsidR="00BE1681">
        <w:t>n.d.</w:t>
      </w:r>
      <w:r w:rsidRPr="003A7EA9">
        <w:t xml:space="preserve">). </w:t>
      </w:r>
      <w:r w:rsidRPr="003A7EA9">
        <w:rPr>
          <w:i/>
        </w:rPr>
        <w:t>QTAC applications and TAFE Queensland schedules for selection ranks</w:t>
      </w:r>
      <w:r w:rsidRPr="003A7EA9">
        <w:t xml:space="preserve">. </w:t>
      </w:r>
      <w:r w:rsidR="003F1A3A">
        <w:t xml:space="preserve">Retrieved </w:t>
      </w:r>
      <w:r w:rsidR="00F8702F">
        <w:t>June 3</w:t>
      </w:r>
      <w:r w:rsidR="00D37398">
        <w:t xml:space="preserve">, </w:t>
      </w:r>
      <w:r w:rsidR="00F8702F">
        <w:t>2026</w:t>
      </w:r>
      <w:r w:rsidR="00D37398">
        <w:t>,</w:t>
      </w:r>
      <w:r w:rsidR="00F8702F">
        <w:t xml:space="preserve"> </w:t>
      </w:r>
      <w:r w:rsidR="00D9726C">
        <w:t xml:space="preserve">from </w:t>
      </w:r>
      <w:r w:rsidRPr="003A7EA9">
        <w:t>https://tafeqld.edu.au/courses/apply-and-enrol/how-to-apply/QTAC</w:t>
      </w:r>
    </w:p>
    <w:p w14:paraId="23D81542" w14:textId="77777777" w:rsidR="003A7EA9" w:rsidRPr="003A7EA9" w:rsidRDefault="003A7EA9" w:rsidP="003A7EA9">
      <w:pPr>
        <w:pStyle w:val="JANZSSAreferences"/>
      </w:pPr>
      <w:r w:rsidRPr="00BF19A3">
        <w:t xml:space="preserve">Universities Admissions Centre. (2022). </w:t>
      </w:r>
      <w:r w:rsidRPr="00BF19A3">
        <w:rPr>
          <w:i/>
        </w:rPr>
        <w:t>NSW: Indigenous and non-Indigenous HSC and ATAR recipients</w:t>
      </w:r>
      <w:r w:rsidRPr="00BF19A3">
        <w:t xml:space="preserve"> [Unpublished raw data].</w:t>
      </w:r>
    </w:p>
    <w:p w14:paraId="6F009ACE" w14:textId="4F5738A8" w:rsidR="00D9726C" w:rsidRDefault="002D4BD0" w:rsidP="003A7EA9">
      <w:pPr>
        <w:pStyle w:val="JANZSSAreferences"/>
      </w:pPr>
      <w:r w:rsidRPr="002D4BD0">
        <w:t xml:space="preserve">Vernon, L. (2023, March 3). </w:t>
      </w:r>
      <w:r w:rsidRPr="002D4BD0">
        <w:rPr>
          <w:i/>
          <w:iCs/>
        </w:rPr>
        <w:t>Dismiss median ATAR as indicator of school performance and increase ATAR course participation</w:t>
      </w:r>
      <w:r w:rsidRPr="002D4BD0">
        <w:t xml:space="preserve">. </w:t>
      </w:r>
      <w:r w:rsidRPr="00241DDA">
        <w:t>The West Australian</w:t>
      </w:r>
      <w:r w:rsidRPr="00BA3ED9">
        <w:t>.</w:t>
      </w:r>
      <w:r w:rsidRPr="002D4BD0">
        <w:t xml:space="preserve"> </w:t>
      </w:r>
      <w:r w:rsidRPr="00D9726C">
        <w:t>https://thewest.com.au/opinion/dismiss-median-atar-as-indicator-of-school-performance-and-increase-atar-course-participation-c-9821682</w:t>
      </w:r>
    </w:p>
    <w:p w14:paraId="29448DFF" w14:textId="74C2C4B0" w:rsidR="003A7EA9" w:rsidRPr="003A7EA9" w:rsidRDefault="003A7EA9" w:rsidP="003A7EA9">
      <w:pPr>
        <w:pStyle w:val="JANZSSAreferences"/>
      </w:pPr>
      <w:r w:rsidRPr="00273225">
        <w:t xml:space="preserve">Victorian Department of Education. (2022). </w:t>
      </w:r>
      <w:r w:rsidRPr="00273225">
        <w:rPr>
          <w:i/>
        </w:rPr>
        <w:t>All schools FTE enrolments - Feb 2022</w:t>
      </w:r>
      <w:r w:rsidR="00273225">
        <w:rPr>
          <w:i/>
        </w:rPr>
        <w:t>, Victoria</w:t>
      </w:r>
      <w:r w:rsidRPr="00273225">
        <w:t xml:space="preserve"> [Data set]. https://discover.data.vic.gov.au/dataset/all-schools-fte-enrolments-feb-2022-victoria</w:t>
      </w:r>
    </w:p>
    <w:p w14:paraId="46083BB0" w14:textId="18FD6AEA" w:rsidR="003A7EA9" w:rsidRPr="003A7EA9" w:rsidRDefault="003A7EA9" w:rsidP="003A7EA9">
      <w:pPr>
        <w:pStyle w:val="JANZSSAreferences"/>
      </w:pPr>
      <w:r w:rsidRPr="00BF19A3">
        <w:t xml:space="preserve">Victorian Department of Education. (2023a). </w:t>
      </w:r>
      <w:r w:rsidRPr="00BF19A3">
        <w:rPr>
          <w:i/>
        </w:rPr>
        <w:t>On Track Indigenous and non-Indigenous post-completion destinations</w:t>
      </w:r>
      <w:r w:rsidRPr="00BF19A3">
        <w:t xml:space="preserve"> [Unpublished raw data].</w:t>
      </w:r>
    </w:p>
    <w:p w14:paraId="44E6B6CA" w14:textId="0D6D5540" w:rsidR="003A7EA9" w:rsidRPr="003A7EA9" w:rsidRDefault="003A7EA9" w:rsidP="003A7EA9">
      <w:pPr>
        <w:pStyle w:val="JANZSSAreferences"/>
      </w:pPr>
      <w:r w:rsidRPr="0063663B">
        <w:t>Victorian Departmen</w:t>
      </w:r>
      <w:r w:rsidRPr="003A7EA9">
        <w:t xml:space="preserve">t of Education. (2023b). </w:t>
      </w:r>
      <w:r w:rsidRPr="003A7EA9">
        <w:rPr>
          <w:i/>
        </w:rPr>
        <w:t>On Track 2022: Destinations of Victorian school leavers: Snapshot summary report</w:t>
      </w:r>
      <w:r w:rsidR="002858AB">
        <w:rPr>
          <w:i/>
        </w:rPr>
        <w:t>.</w:t>
      </w:r>
      <w:r w:rsidRPr="003A7EA9">
        <w:t xml:space="preserve"> </w:t>
      </w:r>
      <w:r w:rsidRPr="004B55DF">
        <w:t>https://www.education.vic.gov.au/Documents/about/research/OnTrack2022/2022_Snapshot-Summary-Report.pdf</w:t>
      </w:r>
    </w:p>
    <w:p w14:paraId="61FF33C7" w14:textId="74855FFF" w:rsidR="003A7EA9" w:rsidRPr="003A7EA9" w:rsidRDefault="003A7EA9" w:rsidP="003A7EA9">
      <w:pPr>
        <w:pStyle w:val="JANZSSAreferences"/>
      </w:pPr>
      <w:r w:rsidRPr="00BF19A3">
        <w:t xml:space="preserve">Victorian Department of Education. (2023c). </w:t>
      </w:r>
      <w:r w:rsidRPr="00BF19A3">
        <w:rPr>
          <w:i/>
        </w:rPr>
        <w:t>On Track Year 12 completer survey 2022: Post-school destinations of Year 12 or equivalent completers in 2021 data, Victorian schools</w:t>
      </w:r>
      <w:r w:rsidR="00BA3ED9">
        <w:rPr>
          <w:i/>
        </w:rPr>
        <w:t xml:space="preserve"> </w:t>
      </w:r>
      <w:r w:rsidR="00BA3ED9">
        <w:rPr>
          <w:iCs/>
        </w:rPr>
        <w:t>[Data set]</w:t>
      </w:r>
      <w:r w:rsidRPr="00BF19A3">
        <w:t>. https://www.vic.gov.au/on-track-survey</w:t>
      </w:r>
    </w:p>
    <w:p w14:paraId="167255AD" w14:textId="10BCF3DD" w:rsidR="003A7EA9" w:rsidRPr="003A7EA9" w:rsidRDefault="003A7EA9" w:rsidP="003A7EA9">
      <w:pPr>
        <w:pStyle w:val="JANZSSAreferences"/>
      </w:pPr>
      <w:r w:rsidRPr="0063663B">
        <w:t>Victorian</w:t>
      </w:r>
      <w:r w:rsidRPr="003A7EA9">
        <w:t xml:space="preserve"> Department of Education. (2026</w:t>
      </w:r>
      <w:r w:rsidR="0063663B">
        <w:t>, March 26</w:t>
      </w:r>
      <w:r w:rsidRPr="003A7EA9">
        <w:t xml:space="preserve">). </w:t>
      </w:r>
      <w:r w:rsidRPr="003A7EA9">
        <w:rPr>
          <w:i/>
        </w:rPr>
        <w:t>About the VCE vocational major</w:t>
      </w:r>
      <w:r w:rsidRPr="003A7EA9">
        <w:t xml:space="preserve">. </w:t>
      </w:r>
      <w:r w:rsidRPr="004B55DF">
        <w:t>https://www.vic.gov.au/about-the-vce-vocational-major</w:t>
      </w:r>
    </w:p>
    <w:p w14:paraId="2A697C2B" w14:textId="77777777" w:rsidR="003A7EA9" w:rsidRDefault="003A7EA9" w:rsidP="003A7EA9">
      <w:pPr>
        <w:pStyle w:val="JANZSSAreferences"/>
      </w:pPr>
      <w:r w:rsidRPr="00703903">
        <w:t xml:space="preserve">Victorian Tertiary Admissions Centre. (2022). </w:t>
      </w:r>
      <w:r w:rsidRPr="00703903">
        <w:rPr>
          <w:i/>
        </w:rPr>
        <w:t>Indigenous and non-Indigenous ATAR recipients and median ATAR</w:t>
      </w:r>
      <w:r w:rsidRPr="00703903">
        <w:t xml:space="preserve"> [Unpublished raw data].</w:t>
      </w:r>
    </w:p>
    <w:p w14:paraId="07761426" w14:textId="6936FDA7" w:rsidR="00762540" w:rsidRPr="003A7EA9" w:rsidRDefault="00762540" w:rsidP="00762540">
      <w:pPr>
        <w:pStyle w:val="JANZSSAreferences"/>
      </w:pPr>
      <w:r w:rsidRPr="00762540">
        <w:t>Watson, L., Webster, E., &amp; Lomax-Smith, J. (2011).</w:t>
      </w:r>
      <w:r>
        <w:t xml:space="preserve"> </w:t>
      </w:r>
      <w:r w:rsidRPr="00762540">
        <w:rPr>
          <w:i/>
          <w:iCs/>
        </w:rPr>
        <w:t xml:space="preserve">Higher education base funding review: Final report. </w:t>
      </w:r>
      <w:r w:rsidRPr="00762540">
        <w:t>Department of Education, Employment and Workplace Relations</w:t>
      </w:r>
      <w:r w:rsidR="00BA3ED9">
        <w:t>.</w:t>
      </w:r>
    </w:p>
    <w:p w14:paraId="2BCD38BE" w14:textId="75AFE83B" w:rsidR="003A7EA9" w:rsidRPr="003A7EA9" w:rsidRDefault="003A7EA9" w:rsidP="003A7EA9">
      <w:pPr>
        <w:pStyle w:val="JANZSSAreferences"/>
      </w:pPr>
      <w:r w:rsidRPr="003A7EA9">
        <w:t xml:space="preserve">Welner, K. G., &amp; Oakes, J. (1996). (Li)ability grouping: The new susceptibility of school tracking systems to legal challenges. </w:t>
      </w:r>
      <w:r w:rsidRPr="003A7EA9">
        <w:rPr>
          <w:i/>
        </w:rPr>
        <w:t>Harvard Educational Review</w:t>
      </w:r>
      <w:r w:rsidRPr="003A7EA9">
        <w:t xml:space="preserve">, </w:t>
      </w:r>
      <w:r w:rsidRPr="003A7EA9">
        <w:rPr>
          <w:i/>
        </w:rPr>
        <w:t>66</w:t>
      </w:r>
      <w:r w:rsidRPr="003A7EA9">
        <w:t>(3), 451–471.</w:t>
      </w:r>
      <w:r w:rsidR="00703903" w:rsidRPr="00703903">
        <w:t xml:space="preserve"> https://doi.org/10.17763/haer.66.3.p92775298646n342</w:t>
      </w:r>
    </w:p>
    <w:p w14:paraId="7B06908F" w14:textId="1847A037" w:rsidR="003A7EA9" w:rsidRPr="003A7EA9" w:rsidRDefault="003A7EA9" w:rsidP="003A7EA9">
      <w:pPr>
        <w:pStyle w:val="JANZSSAreferences"/>
      </w:pPr>
      <w:r w:rsidRPr="00703903">
        <w:t xml:space="preserve">Western Australian Department of Education. (2023a). </w:t>
      </w:r>
      <w:r w:rsidRPr="00703903">
        <w:rPr>
          <w:i/>
        </w:rPr>
        <w:t>Western Australian Indigenous and non-Indigenous ATAR recipients</w:t>
      </w:r>
      <w:r w:rsidRPr="00703903">
        <w:t xml:space="preserve"> [Unpublished raw data].</w:t>
      </w:r>
    </w:p>
    <w:p w14:paraId="45E4BF5A" w14:textId="4CB27BF9" w:rsidR="003A7EA9" w:rsidRPr="003A7EA9" w:rsidRDefault="003A7EA9" w:rsidP="003A7EA9">
      <w:pPr>
        <w:pStyle w:val="JANZSSAreferences"/>
      </w:pPr>
      <w:r w:rsidRPr="003A7EA9">
        <w:t xml:space="preserve">Western Australian Department of Education. (2023b). </w:t>
      </w:r>
      <w:r w:rsidRPr="003A7EA9">
        <w:rPr>
          <w:i/>
        </w:rPr>
        <w:t>Annual report 2022–23</w:t>
      </w:r>
      <w:r w:rsidRPr="003A7EA9">
        <w:t xml:space="preserve">. </w:t>
      </w:r>
      <w:r w:rsidRPr="004B55DF">
        <w:t>https://www.education.wa.edu.au/web/annual-report/appendix-3</w:t>
      </w:r>
    </w:p>
    <w:p w14:paraId="081302A4" w14:textId="77777777" w:rsidR="00BA5DDE" w:rsidRDefault="00BA5DDE" w:rsidP="00C41578">
      <w:pPr>
        <w:pStyle w:val="JANZSSABodyCopy10pt"/>
      </w:pPr>
    </w:p>
    <w:p w14:paraId="66678581" w14:textId="0B213707" w:rsidR="000411ED" w:rsidRPr="00AD5F46" w:rsidRDefault="000411ED" w:rsidP="00C41578">
      <w:pPr>
        <w:pStyle w:val="JANZSSABodyCopy10pt"/>
        <w:rPr>
          <w:b/>
          <w:bCs/>
        </w:rPr>
      </w:pPr>
      <w:r w:rsidRPr="00AD5F46">
        <w:rPr>
          <w:b/>
          <w:bCs/>
        </w:rPr>
        <w:t>The</w:t>
      </w:r>
      <w:r w:rsidR="002B0419" w:rsidRPr="00AD5F46">
        <w:rPr>
          <w:b/>
          <w:bCs/>
        </w:rPr>
        <w:t xml:space="preserve"> </w:t>
      </w:r>
      <w:r w:rsidRPr="00AD5F46">
        <w:rPr>
          <w:b/>
          <w:bCs/>
        </w:rPr>
        <w:t>author</w:t>
      </w:r>
      <w:r w:rsidR="00703903">
        <w:rPr>
          <w:b/>
          <w:bCs/>
        </w:rPr>
        <w:t>s</w:t>
      </w:r>
      <w:r w:rsidR="002B0419" w:rsidRPr="00AD5F46">
        <w:rPr>
          <w:b/>
          <w:bCs/>
        </w:rPr>
        <w:t xml:space="preserve"> </w:t>
      </w:r>
      <w:r w:rsidRPr="00AD5F46">
        <w:rPr>
          <w:b/>
          <w:bCs/>
        </w:rPr>
        <w:t>may</w:t>
      </w:r>
      <w:r w:rsidR="002B0419" w:rsidRPr="00AD5F46">
        <w:rPr>
          <w:b/>
          <w:bCs/>
        </w:rPr>
        <w:t xml:space="preserve"> </w:t>
      </w:r>
      <w:r w:rsidRPr="00AD5F46">
        <w:rPr>
          <w:b/>
          <w:bCs/>
        </w:rPr>
        <w:t>be</w:t>
      </w:r>
      <w:r w:rsidR="002B0419" w:rsidRPr="00AD5F46">
        <w:rPr>
          <w:b/>
          <w:bCs/>
        </w:rPr>
        <w:t xml:space="preserve"> </w:t>
      </w:r>
      <w:r w:rsidRPr="00AD5F46">
        <w:rPr>
          <w:b/>
          <w:bCs/>
        </w:rPr>
        <w:t>contacted</w:t>
      </w:r>
      <w:r w:rsidR="002B0419" w:rsidRPr="00AD5F46">
        <w:rPr>
          <w:b/>
          <w:bCs/>
        </w:rPr>
        <w:t xml:space="preserve"> </w:t>
      </w:r>
      <w:r w:rsidRPr="00AD5F46">
        <w:rPr>
          <w:b/>
          <w:bCs/>
        </w:rPr>
        <w:t>via</w:t>
      </w:r>
      <w:r w:rsidR="00571F4B" w:rsidRPr="00AD5F46">
        <w:rPr>
          <w:b/>
          <w:bCs/>
        </w:rPr>
        <w:t>:</w:t>
      </w:r>
    </w:p>
    <w:p w14:paraId="5546CC1B" w14:textId="738C4CAA" w:rsidR="0032203B" w:rsidRDefault="004B55DF" w:rsidP="00C41578">
      <w:pPr>
        <w:pStyle w:val="JANZSSABodyCopy10pt"/>
      </w:pPr>
      <w:r w:rsidRPr="004B55DF">
        <w:t xml:space="preserve">Lucy Campion </w:t>
      </w:r>
      <w:r>
        <w:t xml:space="preserve">— </w:t>
      </w:r>
      <w:r w:rsidRPr="004B55DF">
        <w:t>l.campion@griffith.edu.au</w:t>
      </w:r>
    </w:p>
    <w:p w14:paraId="4DCE7227" w14:textId="77777777" w:rsidR="00143D7E" w:rsidRPr="00176032" w:rsidRDefault="00143D7E" w:rsidP="00C41578">
      <w:pPr>
        <w:pStyle w:val="JANZSSABodyCopy10pt"/>
      </w:pPr>
    </w:p>
    <w:p w14:paraId="20683185" w14:textId="77777777" w:rsidR="000A0E3F" w:rsidRPr="00AD5F46" w:rsidRDefault="000411ED" w:rsidP="00C41578">
      <w:pPr>
        <w:pStyle w:val="JANZSSABodyCopy10pt"/>
        <w:rPr>
          <w:b/>
          <w:bCs/>
        </w:rPr>
      </w:pPr>
      <w:r w:rsidRPr="00AD5F46">
        <w:rPr>
          <w:b/>
          <w:bCs/>
        </w:rPr>
        <w:t>Please</w:t>
      </w:r>
      <w:r w:rsidR="002B0419" w:rsidRPr="00AD5F46">
        <w:rPr>
          <w:b/>
          <w:bCs/>
        </w:rPr>
        <w:t xml:space="preserve"> </w:t>
      </w:r>
      <w:r w:rsidRPr="00AD5F46">
        <w:rPr>
          <w:b/>
          <w:bCs/>
        </w:rPr>
        <w:t>cite</w:t>
      </w:r>
      <w:r w:rsidR="002B0419" w:rsidRPr="00AD5F46">
        <w:rPr>
          <w:b/>
          <w:bCs/>
        </w:rPr>
        <w:t xml:space="preserve"> </w:t>
      </w:r>
      <w:r w:rsidRPr="00AD5F46">
        <w:rPr>
          <w:b/>
          <w:bCs/>
        </w:rPr>
        <w:t>this</w:t>
      </w:r>
      <w:r w:rsidR="002B0419" w:rsidRPr="00AD5F46">
        <w:rPr>
          <w:b/>
          <w:bCs/>
        </w:rPr>
        <w:t xml:space="preserve"> </w:t>
      </w:r>
      <w:r w:rsidRPr="00AD5F46">
        <w:rPr>
          <w:b/>
          <w:bCs/>
        </w:rPr>
        <w:t>paper</w:t>
      </w:r>
      <w:r w:rsidR="002B0419" w:rsidRPr="00AD5F46">
        <w:rPr>
          <w:b/>
          <w:bCs/>
        </w:rPr>
        <w:t xml:space="preserve"> </w:t>
      </w:r>
      <w:r w:rsidRPr="00AD5F46">
        <w:rPr>
          <w:b/>
          <w:bCs/>
        </w:rPr>
        <w:t>as:</w:t>
      </w:r>
      <w:r w:rsidR="002B0419" w:rsidRPr="00AD5F46">
        <w:rPr>
          <w:b/>
          <w:bCs/>
        </w:rPr>
        <w:t xml:space="preserve"> </w:t>
      </w:r>
    </w:p>
    <w:p w14:paraId="78DEFE83" w14:textId="191B4359" w:rsidR="00885DF3" w:rsidRDefault="004B55DF" w:rsidP="00C41578">
      <w:pPr>
        <w:pStyle w:val="JANZSSABodyCopy10pt"/>
      </w:pPr>
      <w:r w:rsidRPr="004B55DF">
        <w:t>Harvey</w:t>
      </w:r>
      <w:r>
        <w:t xml:space="preserve">, A., </w:t>
      </w:r>
      <w:r w:rsidRPr="004B55DF">
        <w:t>Campion</w:t>
      </w:r>
      <w:r>
        <w:t xml:space="preserve">, L., &amp; </w:t>
      </w:r>
      <w:r w:rsidRPr="004B55DF">
        <w:t>Wren</w:t>
      </w:r>
      <w:r>
        <w:t>, L</w:t>
      </w:r>
      <w:r w:rsidR="00885DF3">
        <w:t xml:space="preserve">. (2026). </w:t>
      </w:r>
      <w:r w:rsidRPr="004B55DF">
        <w:t>The hidden barrier: How school streaming shapes university participation in Australia</w:t>
      </w:r>
      <w:r w:rsidR="00885DF3">
        <w:t xml:space="preserve">. </w:t>
      </w:r>
      <w:r w:rsidR="00885DF3" w:rsidRPr="00063985">
        <w:rPr>
          <w:i/>
        </w:rPr>
        <w:t>Journal of the Australian and New Zealand Student Services Association</w:t>
      </w:r>
      <w:r w:rsidR="00885DF3">
        <w:t xml:space="preserve">. Advance online publication. </w:t>
      </w:r>
      <w:r w:rsidR="00885DF3" w:rsidRPr="00885DF3">
        <w:t>https://doi.org/10.30688/janzssa.2026-</w:t>
      </w:r>
      <w:r w:rsidR="003A7EA9">
        <w:t>3</w:t>
      </w:r>
      <w:r w:rsidR="00885DF3" w:rsidRPr="00885DF3">
        <w:t>-</w:t>
      </w:r>
      <w:r w:rsidR="00AA3E27">
        <w:t>02</w:t>
      </w:r>
    </w:p>
    <w:p w14:paraId="3457E383" w14:textId="77777777" w:rsidR="00D93174" w:rsidRDefault="00D93174" w:rsidP="000A0E3F">
      <w:pPr>
        <w:pStyle w:val="JANZSSATableContents"/>
        <w:rPr>
          <w:rFonts w:eastAsia="Calibri"/>
        </w:rPr>
      </w:pPr>
    </w:p>
    <w:p w14:paraId="5DDEFA18" w14:textId="77777777" w:rsidR="004B55DF" w:rsidRDefault="004B55DF" w:rsidP="000A0E3F">
      <w:pPr>
        <w:pStyle w:val="JANZSSATableContents"/>
        <w:rPr>
          <w:rFonts w:eastAsia="Calibri"/>
        </w:rPr>
      </w:pPr>
    </w:p>
    <w:p w14:paraId="45362873" w14:textId="0C598D0C" w:rsidR="0061271C" w:rsidRDefault="0061271C">
      <w:pPr>
        <w:rPr>
          <w:szCs w:val="20"/>
          <w:shd w:val="clear" w:color="auto" w:fill="FFFFFF"/>
          <w:lang w:eastAsia="en-US"/>
        </w:rPr>
      </w:pPr>
      <w:r>
        <w:rPr>
          <w:szCs w:val="20"/>
          <w:shd w:val="clear" w:color="auto" w:fill="FFFFFF"/>
          <w:lang w:eastAsia="en-US"/>
        </w:rPr>
        <w:br w:type="page"/>
      </w:r>
    </w:p>
    <w:p w14:paraId="6284BDEE" w14:textId="77777777" w:rsidR="00C1684D" w:rsidRDefault="00C1684D">
      <w:pPr>
        <w:rPr>
          <w:szCs w:val="20"/>
          <w:shd w:val="clear" w:color="auto" w:fill="FFFFFF"/>
          <w:lang w:eastAsia="en-US"/>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5CA760DD" w14:textId="77777777" w:rsidR="000A0E3F" w:rsidRDefault="000A0E3F" w:rsidP="00176032">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p>
    <w:bookmarkEnd w:id="0"/>
    <w:p w14:paraId="7D406C81" w14:textId="28D5CE6E" w:rsidR="004B55DF" w:rsidRDefault="004B55DF">
      <w:r>
        <w:br w:type="page"/>
      </w:r>
    </w:p>
    <w:p w14:paraId="6877BF63" w14:textId="719FC6CC" w:rsidR="004B55DF" w:rsidRPr="00423E24" w:rsidRDefault="004B55DF" w:rsidP="00AD5F46">
      <w:pPr>
        <w:pStyle w:val="JANZSSAHeading1"/>
      </w:pPr>
      <w:r w:rsidRPr="00423E24">
        <w:lastRenderedPageBreak/>
        <w:t xml:space="preserve">Appendix A: Data sources for Figure 1 </w:t>
      </w:r>
      <w:r w:rsidR="004457F4">
        <w:t>p</w:t>
      </w:r>
      <w:r w:rsidRPr="00423E24">
        <w:t xml:space="preserve">roportion of Year 12 students in ATAR streams in 2022 </w:t>
      </w:r>
    </w:p>
    <w:p w14:paraId="54F624A3" w14:textId="77777777" w:rsidR="004B55DF" w:rsidRPr="00423E24" w:rsidRDefault="004B55DF" w:rsidP="004B55DF">
      <w:pPr>
        <w:rPr>
          <w:b/>
          <w:sz w:val="24"/>
          <w:szCs w:val="24"/>
        </w:rPr>
      </w:pP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926"/>
        <w:gridCol w:w="2926"/>
        <w:gridCol w:w="2927"/>
      </w:tblGrid>
      <w:tr w:rsidR="004B55DF" w:rsidRPr="000D00E9" w14:paraId="238351BF" w14:textId="77777777" w:rsidTr="00EA5AC1">
        <w:tc>
          <w:tcPr>
            <w:tcW w:w="851" w:type="dxa"/>
            <w:tcBorders>
              <w:top w:val="single" w:sz="4" w:space="0" w:color="auto"/>
              <w:bottom w:val="single" w:sz="4" w:space="0" w:color="auto"/>
            </w:tcBorders>
          </w:tcPr>
          <w:p w14:paraId="01E85BBB" w14:textId="77777777" w:rsidR="004B55DF" w:rsidRPr="000D00E9" w:rsidRDefault="004B55DF">
            <w:pPr>
              <w:rPr>
                <w:b/>
                <w:szCs w:val="20"/>
              </w:rPr>
            </w:pPr>
            <w:r w:rsidRPr="000D00E9">
              <w:rPr>
                <w:b/>
                <w:szCs w:val="20"/>
              </w:rPr>
              <w:t>States</w:t>
            </w:r>
          </w:p>
        </w:tc>
        <w:tc>
          <w:tcPr>
            <w:tcW w:w="2926" w:type="dxa"/>
            <w:tcBorders>
              <w:top w:val="single" w:sz="4" w:space="0" w:color="auto"/>
              <w:bottom w:val="single" w:sz="4" w:space="0" w:color="auto"/>
            </w:tcBorders>
          </w:tcPr>
          <w:p w14:paraId="4A13D898" w14:textId="77777777" w:rsidR="004B55DF" w:rsidRPr="000D00E9" w:rsidRDefault="004B55DF">
            <w:pPr>
              <w:jc w:val="center"/>
              <w:rPr>
                <w:b/>
                <w:szCs w:val="20"/>
              </w:rPr>
            </w:pPr>
            <w:r w:rsidRPr="000D00E9">
              <w:rPr>
                <w:b/>
                <w:szCs w:val="20"/>
              </w:rPr>
              <w:t>Total number of enrolled Year 12 students</w:t>
            </w:r>
          </w:p>
        </w:tc>
        <w:tc>
          <w:tcPr>
            <w:tcW w:w="2926" w:type="dxa"/>
            <w:tcBorders>
              <w:top w:val="single" w:sz="4" w:space="0" w:color="auto"/>
              <w:bottom w:val="single" w:sz="4" w:space="0" w:color="auto"/>
            </w:tcBorders>
          </w:tcPr>
          <w:p w14:paraId="766919E2" w14:textId="23F1873C" w:rsidR="004B55DF" w:rsidRPr="000D00E9" w:rsidRDefault="004B55DF">
            <w:pPr>
              <w:jc w:val="center"/>
              <w:rPr>
                <w:b/>
                <w:szCs w:val="20"/>
              </w:rPr>
            </w:pPr>
            <w:r w:rsidRPr="000D00E9">
              <w:rPr>
                <w:b/>
                <w:szCs w:val="20"/>
              </w:rPr>
              <w:t>ATAR stream</w:t>
            </w:r>
            <w:r w:rsidR="00E33277">
              <w:rPr>
                <w:b/>
                <w:szCs w:val="20"/>
              </w:rPr>
              <w:t xml:space="preserve"> —</w:t>
            </w:r>
            <w:r w:rsidR="00E33277" w:rsidRPr="000D00E9">
              <w:rPr>
                <w:b/>
                <w:szCs w:val="20"/>
              </w:rPr>
              <w:t xml:space="preserve"> </w:t>
            </w:r>
            <w:r w:rsidRPr="000D00E9">
              <w:rPr>
                <w:b/>
                <w:szCs w:val="20"/>
              </w:rPr>
              <w:t>all students</w:t>
            </w:r>
          </w:p>
        </w:tc>
        <w:tc>
          <w:tcPr>
            <w:tcW w:w="2927" w:type="dxa"/>
            <w:tcBorders>
              <w:top w:val="single" w:sz="4" w:space="0" w:color="auto"/>
              <w:bottom w:val="single" w:sz="4" w:space="0" w:color="auto"/>
            </w:tcBorders>
          </w:tcPr>
          <w:p w14:paraId="3912DBB4" w14:textId="14E369A0" w:rsidR="004B55DF" w:rsidRPr="000D00E9" w:rsidRDefault="004B55DF">
            <w:pPr>
              <w:jc w:val="center"/>
              <w:rPr>
                <w:b/>
                <w:szCs w:val="20"/>
              </w:rPr>
            </w:pPr>
            <w:r w:rsidRPr="000D00E9">
              <w:rPr>
                <w:b/>
                <w:szCs w:val="20"/>
              </w:rPr>
              <w:t>ATAR stream</w:t>
            </w:r>
            <w:r w:rsidR="00E33277">
              <w:rPr>
                <w:b/>
                <w:szCs w:val="20"/>
              </w:rPr>
              <w:t xml:space="preserve"> </w:t>
            </w:r>
            <w:r w:rsidR="00E33277" w:rsidRPr="000A17EF">
              <w:rPr>
                <w:b/>
                <w:i/>
              </w:rPr>
              <w:t>—</w:t>
            </w:r>
            <w:r w:rsidR="00E33277" w:rsidRPr="000D00E9">
              <w:rPr>
                <w:b/>
                <w:szCs w:val="20"/>
              </w:rPr>
              <w:t xml:space="preserve"> </w:t>
            </w:r>
            <w:r w:rsidRPr="000D00E9">
              <w:rPr>
                <w:b/>
                <w:szCs w:val="20"/>
              </w:rPr>
              <w:t>Indigenous students</w:t>
            </w:r>
          </w:p>
        </w:tc>
      </w:tr>
      <w:tr w:rsidR="004B55DF" w:rsidRPr="000D00E9" w14:paraId="2FA0241A" w14:textId="77777777" w:rsidTr="00EA5AC1">
        <w:tc>
          <w:tcPr>
            <w:tcW w:w="851" w:type="dxa"/>
            <w:tcBorders>
              <w:top w:val="single" w:sz="4" w:space="0" w:color="auto"/>
            </w:tcBorders>
          </w:tcPr>
          <w:p w14:paraId="7FE3DF8E" w14:textId="77777777" w:rsidR="004B55DF" w:rsidRPr="000D00E9" w:rsidRDefault="004B55DF">
            <w:pPr>
              <w:rPr>
                <w:szCs w:val="20"/>
              </w:rPr>
            </w:pPr>
            <w:r w:rsidRPr="000D00E9">
              <w:rPr>
                <w:szCs w:val="20"/>
              </w:rPr>
              <w:t>QLD</w:t>
            </w:r>
          </w:p>
        </w:tc>
        <w:tc>
          <w:tcPr>
            <w:tcW w:w="2926" w:type="dxa"/>
            <w:tcBorders>
              <w:top w:val="single" w:sz="4" w:space="0" w:color="auto"/>
            </w:tcBorders>
          </w:tcPr>
          <w:p w14:paraId="64043C40" w14:textId="77777777" w:rsidR="004B55DF" w:rsidRPr="000D00E9" w:rsidRDefault="004B55DF">
            <w:pPr>
              <w:jc w:val="center"/>
              <w:rPr>
                <w:szCs w:val="20"/>
              </w:rPr>
            </w:pPr>
            <w:r w:rsidRPr="000D00E9">
              <w:rPr>
                <w:szCs w:val="20"/>
              </w:rPr>
              <w:t>51,502¹</w:t>
            </w:r>
          </w:p>
        </w:tc>
        <w:tc>
          <w:tcPr>
            <w:tcW w:w="2926" w:type="dxa"/>
            <w:tcBorders>
              <w:top w:val="single" w:sz="4" w:space="0" w:color="auto"/>
            </w:tcBorders>
          </w:tcPr>
          <w:p w14:paraId="11885239" w14:textId="77777777" w:rsidR="004B55DF" w:rsidRPr="000D00E9" w:rsidRDefault="004B55DF">
            <w:pPr>
              <w:jc w:val="center"/>
              <w:rPr>
                <w:szCs w:val="20"/>
              </w:rPr>
            </w:pPr>
            <w:r w:rsidRPr="000D00E9">
              <w:rPr>
                <w:szCs w:val="20"/>
              </w:rPr>
              <w:t>53%¹</w:t>
            </w:r>
          </w:p>
        </w:tc>
        <w:tc>
          <w:tcPr>
            <w:tcW w:w="2927" w:type="dxa"/>
            <w:tcBorders>
              <w:top w:val="single" w:sz="4" w:space="0" w:color="auto"/>
            </w:tcBorders>
          </w:tcPr>
          <w:p w14:paraId="35C7088F" w14:textId="38226993" w:rsidR="004B55DF" w:rsidRPr="000D00E9" w:rsidRDefault="004B55DF">
            <w:pPr>
              <w:jc w:val="center"/>
              <w:rPr>
                <w:szCs w:val="20"/>
              </w:rPr>
            </w:pPr>
            <w:r w:rsidRPr="000D00E9">
              <w:rPr>
                <w:szCs w:val="20"/>
              </w:rPr>
              <w:t>N.D²</w:t>
            </w:r>
          </w:p>
        </w:tc>
      </w:tr>
      <w:tr w:rsidR="004B55DF" w:rsidRPr="000D00E9" w14:paraId="3EBBC59C" w14:textId="77777777" w:rsidTr="00EA5AC1">
        <w:tc>
          <w:tcPr>
            <w:tcW w:w="851" w:type="dxa"/>
          </w:tcPr>
          <w:p w14:paraId="2D95BE3B" w14:textId="77777777" w:rsidR="004B55DF" w:rsidRPr="000D00E9" w:rsidRDefault="004B55DF">
            <w:pPr>
              <w:rPr>
                <w:szCs w:val="20"/>
              </w:rPr>
            </w:pPr>
            <w:r w:rsidRPr="000D00E9">
              <w:rPr>
                <w:szCs w:val="20"/>
              </w:rPr>
              <w:t>NSW</w:t>
            </w:r>
          </w:p>
        </w:tc>
        <w:tc>
          <w:tcPr>
            <w:tcW w:w="2926" w:type="dxa"/>
          </w:tcPr>
          <w:p w14:paraId="64AFAD88" w14:textId="77777777" w:rsidR="004B55DF" w:rsidRPr="000D00E9" w:rsidRDefault="004B55DF">
            <w:pPr>
              <w:jc w:val="center"/>
              <w:rPr>
                <w:szCs w:val="20"/>
              </w:rPr>
            </w:pPr>
            <w:r w:rsidRPr="000D00E9">
              <w:rPr>
                <w:szCs w:val="20"/>
              </w:rPr>
              <w:t>74,300³</w:t>
            </w:r>
          </w:p>
        </w:tc>
        <w:tc>
          <w:tcPr>
            <w:tcW w:w="2926" w:type="dxa"/>
          </w:tcPr>
          <w:p w14:paraId="42A11AEA" w14:textId="77777777" w:rsidR="004B55DF" w:rsidRPr="000D00E9" w:rsidRDefault="004B55DF">
            <w:pPr>
              <w:jc w:val="center"/>
              <w:rPr>
                <w:szCs w:val="20"/>
              </w:rPr>
            </w:pPr>
            <w:r w:rsidRPr="000D00E9">
              <w:rPr>
                <w:szCs w:val="20"/>
              </w:rPr>
              <w:t>73%³</w:t>
            </w:r>
          </w:p>
        </w:tc>
        <w:tc>
          <w:tcPr>
            <w:tcW w:w="2927" w:type="dxa"/>
          </w:tcPr>
          <w:p w14:paraId="39925B0D" w14:textId="77777777" w:rsidR="004B55DF" w:rsidRPr="000D00E9" w:rsidRDefault="004B55DF">
            <w:pPr>
              <w:jc w:val="center"/>
              <w:rPr>
                <w:szCs w:val="20"/>
              </w:rPr>
            </w:pPr>
            <w:r w:rsidRPr="000D00E9">
              <w:rPr>
                <w:szCs w:val="20"/>
              </w:rPr>
              <w:t>40%³</w:t>
            </w:r>
          </w:p>
        </w:tc>
      </w:tr>
      <w:tr w:rsidR="004B55DF" w:rsidRPr="000D00E9" w14:paraId="555965BB" w14:textId="77777777" w:rsidTr="00EA5AC1">
        <w:trPr>
          <w:trHeight w:val="68"/>
        </w:trPr>
        <w:tc>
          <w:tcPr>
            <w:tcW w:w="851" w:type="dxa"/>
          </w:tcPr>
          <w:p w14:paraId="4498BAE0" w14:textId="77777777" w:rsidR="004B55DF" w:rsidRPr="000D00E9" w:rsidRDefault="004B55DF">
            <w:pPr>
              <w:rPr>
                <w:szCs w:val="20"/>
              </w:rPr>
            </w:pPr>
            <w:r w:rsidRPr="000D00E9">
              <w:rPr>
                <w:szCs w:val="20"/>
              </w:rPr>
              <w:t>WA</w:t>
            </w:r>
          </w:p>
        </w:tc>
        <w:tc>
          <w:tcPr>
            <w:tcW w:w="2926" w:type="dxa"/>
          </w:tcPr>
          <w:p w14:paraId="32460EF9" w14:textId="77777777" w:rsidR="004B55DF" w:rsidRPr="000D00E9" w:rsidRDefault="004B55DF">
            <w:pPr>
              <w:jc w:val="center"/>
              <w:rPr>
                <w:szCs w:val="20"/>
              </w:rPr>
            </w:pPr>
            <w:r w:rsidRPr="000D00E9">
              <w:rPr>
                <w:szCs w:val="20"/>
              </w:rPr>
              <w:t>14,448⁴</w:t>
            </w:r>
          </w:p>
        </w:tc>
        <w:tc>
          <w:tcPr>
            <w:tcW w:w="2926" w:type="dxa"/>
          </w:tcPr>
          <w:p w14:paraId="44B93A01" w14:textId="77777777" w:rsidR="004B55DF" w:rsidRPr="000D00E9" w:rsidRDefault="004B55DF">
            <w:pPr>
              <w:jc w:val="center"/>
              <w:rPr>
                <w:szCs w:val="20"/>
              </w:rPr>
            </w:pPr>
            <w:r w:rsidRPr="000D00E9">
              <w:rPr>
                <w:szCs w:val="20"/>
              </w:rPr>
              <w:t>31%⁴</w:t>
            </w:r>
          </w:p>
        </w:tc>
        <w:tc>
          <w:tcPr>
            <w:tcW w:w="2927" w:type="dxa"/>
          </w:tcPr>
          <w:p w14:paraId="10F30026" w14:textId="77777777" w:rsidR="004B55DF" w:rsidRPr="000D00E9" w:rsidRDefault="004B55DF">
            <w:pPr>
              <w:jc w:val="center"/>
              <w:rPr>
                <w:szCs w:val="20"/>
              </w:rPr>
            </w:pPr>
            <w:r w:rsidRPr="000D00E9">
              <w:rPr>
                <w:szCs w:val="20"/>
              </w:rPr>
              <w:t>6%⁴</w:t>
            </w:r>
          </w:p>
        </w:tc>
      </w:tr>
      <w:tr w:rsidR="004B55DF" w:rsidRPr="000D00E9" w14:paraId="58D52A19" w14:textId="77777777" w:rsidTr="00EA5AC1">
        <w:tc>
          <w:tcPr>
            <w:tcW w:w="851" w:type="dxa"/>
          </w:tcPr>
          <w:p w14:paraId="61A08C0D" w14:textId="77777777" w:rsidR="004B55DF" w:rsidRPr="000D00E9" w:rsidRDefault="004B55DF">
            <w:pPr>
              <w:rPr>
                <w:szCs w:val="20"/>
              </w:rPr>
            </w:pPr>
            <w:r w:rsidRPr="000D00E9">
              <w:rPr>
                <w:szCs w:val="20"/>
              </w:rPr>
              <w:t>VIC</w:t>
            </w:r>
          </w:p>
        </w:tc>
        <w:tc>
          <w:tcPr>
            <w:tcW w:w="2926" w:type="dxa"/>
          </w:tcPr>
          <w:p w14:paraId="6729B5BF" w14:textId="77777777" w:rsidR="004B55DF" w:rsidRPr="000D00E9" w:rsidRDefault="004B55DF">
            <w:pPr>
              <w:jc w:val="center"/>
              <w:rPr>
                <w:szCs w:val="20"/>
              </w:rPr>
            </w:pPr>
            <w:r w:rsidRPr="000D00E9">
              <w:rPr>
                <w:szCs w:val="20"/>
              </w:rPr>
              <w:t>62,223⁵</w:t>
            </w:r>
          </w:p>
        </w:tc>
        <w:tc>
          <w:tcPr>
            <w:tcW w:w="2926" w:type="dxa"/>
          </w:tcPr>
          <w:p w14:paraId="462E5739" w14:textId="77777777" w:rsidR="004B55DF" w:rsidRPr="000D00E9" w:rsidRDefault="004B55DF">
            <w:pPr>
              <w:jc w:val="center"/>
              <w:rPr>
                <w:szCs w:val="20"/>
              </w:rPr>
            </w:pPr>
            <w:r w:rsidRPr="000D00E9">
              <w:rPr>
                <w:szCs w:val="20"/>
              </w:rPr>
              <w:t>71%⁶ ⁷</w:t>
            </w:r>
          </w:p>
        </w:tc>
        <w:tc>
          <w:tcPr>
            <w:tcW w:w="2927" w:type="dxa"/>
          </w:tcPr>
          <w:p w14:paraId="7AD502B1" w14:textId="77777777" w:rsidR="004B55DF" w:rsidRPr="000D00E9" w:rsidRDefault="004B55DF">
            <w:pPr>
              <w:jc w:val="center"/>
              <w:rPr>
                <w:szCs w:val="20"/>
              </w:rPr>
            </w:pPr>
            <w:r w:rsidRPr="000D00E9">
              <w:rPr>
                <w:szCs w:val="20"/>
              </w:rPr>
              <w:t>44%⁶ ⁸</w:t>
            </w:r>
          </w:p>
        </w:tc>
      </w:tr>
    </w:tbl>
    <w:p w14:paraId="04BCED35" w14:textId="77777777" w:rsidR="004B55DF" w:rsidRPr="00423E24" w:rsidRDefault="004B55DF" w:rsidP="004B55DF">
      <w:pPr>
        <w:rPr>
          <w:b/>
          <w:sz w:val="24"/>
          <w:szCs w:val="24"/>
        </w:rPr>
      </w:pPr>
    </w:p>
    <w:p w14:paraId="5EE4C1D9" w14:textId="77777777" w:rsidR="004B55DF" w:rsidRPr="00423E24" w:rsidRDefault="004B55DF" w:rsidP="00920E51">
      <w:pPr>
        <w:pStyle w:val="JANZSSAHeading2"/>
      </w:pPr>
      <w:r w:rsidRPr="00423E24">
        <w:t>Sources</w:t>
      </w:r>
    </w:p>
    <w:p w14:paraId="08ED997F" w14:textId="77777777" w:rsidR="004B55DF" w:rsidRPr="00423E24" w:rsidRDefault="004B55DF" w:rsidP="00AD5F46">
      <w:pPr>
        <w:pStyle w:val="JANZSSABodycopy"/>
        <w:contextualSpacing/>
      </w:pPr>
      <w:r w:rsidRPr="00423E24">
        <w:t>1. Queensland Tertiary Admissions Centre, 2022.</w:t>
      </w:r>
    </w:p>
    <w:p w14:paraId="1E2653B0" w14:textId="64E216F4" w:rsidR="004B55DF" w:rsidRPr="00423E24" w:rsidRDefault="004B55DF" w:rsidP="00AD5F46">
      <w:pPr>
        <w:pStyle w:val="JANZSSABodycopy"/>
        <w:contextualSpacing/>
      </w:pPr>
      <w:r w:rsidRPr="00423E24">
        <w:t xml:space="preserve">2. Data were requested from </w:t>
      </w:r>
      <w:r w:rsidR="00E33277" w:rsidRPr="00E33277">
        <w:t xml:space="preserve">Queensland Tertiary Admissions Centre </w:t>
      </w:r>
      <w:r w:rsidR="00E33277">
        <w:t>(</w:t>
      </w:r>
      <w:r w:rsidRPr="00423E24">
        <w:t>QTAC</w:t>
      </w:r>
      <w:r w:rsidR="00E33277">
        <w:t>)</w:t>
      </w:r>
      <w:r w:rsidRPr="00423E24">
        <w:t xml:space="preserve"> and </w:t>
      </w:r>
      <w:r w:rsidR="00E33277" w:rsidRPr="00E33277">
        <w:t xml:space="preserve">Queensland Curriculum and Assessment Authority </w:t>
      </w:r>
      <w:r w:rsidR="00E33277">
        <w:t>(</w:t>
      </w:r>
      <w:r w:rsidRPr="00423E24">
        <w:t>QCAA</w:t>
      </w:r>
      <w:r w:rsidR="00E33277">
        <w:t>)</w:t>
      </w:r>
      <w:r w:rsidRPr="00423E24">
        <w:t xml:space="preserve">; however, these data were not provided. The Queensland </w:t>
      </w:r>
      <w:r w:rsidRPr="00FB2363">
        <w:rPr>
          <w:iCs w:val="0"/>
        </w:rPr>
        <w:t>Next Step</w:t>
      </w:r>
      <w:r w:rsidRPr="00423E24">
        <w:t xml:space="preserve"> survey report is included </w:t>
      </w:r>
      <w:r w:rsidR="00E33277">
        <w:t>in</w:t>
      </w:r>
      <w:r w:rsidR="00E33277" w:rsidRPr="00423E24">
        <w:t xml:space="preserve"> </w:t>
      </w:r>
      <w:r w:rsidRPr="00423E24">
        <w:t xml:space="preserve">Table </w:t>
      </w:r>
      <w:r w:rsidR="00ED45D3">
        <w:t>3</w:t>
      </w:r>
      <w:r w:rsidR="00BA3ED9">
        <w:t xml:space="preserve"> </w:t>
      </w:r>
      <w:r w:rsidRPr="00423E24">
        <w:t>and sets out Indigenous ATAR data.</w:t>
      </w:r>
    </w:p>
    <w:p w14:paraId="3F654368" w14:textId="2F23A896" w:rsidR="004B55DF" w:rsidRPr="00423E24" w:rsidRDefault="004B55DF" w:rsidP="00AD5F46">
      <w:pPr>
        <w:pStyle w:val="JANZSSABodycopy"/>
        <w:contextualSpacing/>
      </w:pPr>
      <w:r w:rsidRPr="00423E24">
        <w:t>3. Universities Admission</w:t>
      </w:r>
      <w:r w:rsidR="00E33277">
        <w:t>s</w:t>
      </w:r>
      <w:r w:rsidRPr="00423E24">
        <w:t xml:space="preserve"> Centre, 2022.</w:t>
      </w:r>
    </w:p>
    <w:p w14:paraId="2AD7B6AA" w14:textId="4CC6FE4F" w:rsidR="004B55DF" w:rsidRPr="00423E24" w:rsidRDefault="004B55DF" w:rsidP="00AD5F46">
      <w:pPr>
        <w:pStyle w:val="JANZSSABodycopy"/>
        <w:contextualSpacing/>
      </w:pPr>
      <w:r w:rsidRPr="00423E24">
        <w:t>4. Western Australia</w:t>
      </w:r>
      <w:r w:rsidR="00E33277">
        <w:t>n</w:t>
      </w:r>
      <w:r w:rsidRPr="00423E24">
        <w:t xml:space="preserve"> Department of Education, 2023a.</w:t>
      </w:r>
    </w:p>
    <w:p w14:paraId="30874EFB" w14:textId="77777777" w:rsidR="004B55DF" w:rsidRPr="00423E24" w:rsidRDefault="004B55DF" w:rsidP="00AD5F46">
      <w:pPr>
        <w:pStyle w:val="JANZSSABodycopy"/>
        <w:contextualSpacing/>
      </w:pPr>
      <w:r w:rsidRPr="00423E24">
        <w:t xml:space="preserve">5. </w:t>
      </w:r>
      <w:r w:rsidRPr="00262B6C">
        <w:t>Victorian Department of Education</w:t>
      </w:r>
      <w:r w:rsidRPr="00423E24">
        <w:t xml:space="preserve">, </w:t>
      </w:r>
      <w:r w:rsidRPr="00262B6C">
        <w:t>2022.</w:t>
      </w:r>
    </w:p>
    <w:p w14:paraId="51EDC800" w14:textId="77777777" w:rsidR="004B55DF" w:rsidRPr="00423E24" w:rsidRDefault="004B55DF" w:rsidP="00AD5F46">
      <w:pPr>
        <w:pStyle w:val="JANZSSABodycopy"/>
        <w:contextualSpacing/>
      </w:pPr>
      <w:r w:rsidRPr="00423E24">
        <w:t>6. Victorian Tertiary Admissions Centre, 2022.</w:t>
      </w:r>
    </w:p>
    <w:p w14:paraId="2A1E9985" w14:textId="77777777" w:rsidR="004B55DF" w:rsidRPr="00423E24" w:rsidRDefault="004B55DF" w:rsidP="00AD5F46">
      <w:pPr>
        <w:pStyle w:val="JANZSSABodycopy"/>
        <w:contextualSpacing/>
      </w:pPr>
      <w:r w:rsidRPr="00423E24">
        <w:t xml:space="preserve">7. Victorian Department of Education 2023a. </w:t>
      </w:r>
    </w:p>
    <w:p w14:paraId="72F43DE8" w14:textId="5AEAE0F0" w:rsidR="004B55DF" w:rsidRPr="00423E24" w:rsidRDefault="004B55DF" w:rsidP="00AD5F46">
      <w:pPr>
        <w:pStyle w:val="JANZSSABodycopy"/>
        <w:contextualSpacing/>
      </w:pPr>
      <w:r w:rsidRPr="00423E24">
        <w:t>8. First Peoples - State Relations, 2024.</w:t>
      </w:r>
    </w:p>
    <w:p w14:paraId="1EF7EF22" w14:textId="77777777" w:rsidR="004B55DF" w:rsidRPr="00423E24" w:rsidRDefault="004B55DF" w:rsidP="004B55DF">
      <w:pPr>
        <w:rPr>
          <w:sz w:val="24"/>
          <w:szCs w:val="24"/>
        </w:rPr>
      </w:pPr>
      <w:r w:rsidRPr="00423E24">
        <w:rPr>
          <w:sz w:val="24"/>
          <w:szCs w:val="24"/>
        </w:rPr>
        <w:br w:type="page"/>
      </w:r>
    </w:p>
    <w:p w14:paraId="289DBCF3" w14:textId="77777777" w:rsidR="004B55DF" w:rsidRPr="00423E24" w:rsidRDefault="004B55DF" w:rsidP="00EA5AC1">
      <w:pPr>
        <w:pStyle w:val="JANZSSAHeading1"/>
      </w:pPr>
      <w:r w:rsidRPr="00423E24">
        <w:lastRenderedPageBreak/>
        <w:t xml:space="preserve">Appendix B: Data availability and responses to requests by state </w:t>
      </w:r>
    </w:p>
    <w:tbl>
      <w:tblPr>
        <w:tblStyle w:val="TableGrid"/>
        <w:tblW w:w="5000" w:type="pct"/>
        <w:tblLook w:val="04A0" w:firstRow="1" w:lastRow="0" w:firstColumn="1" w:lastColumn="0" w:noHBand="0" w:noVBand="1"/>
      </w:tblPr>
      <w:tblGrid>
        <w:gridCol w:w="902"/>
        <w:gridCol w:w="2008"/>
        <w:gridCol w:w="4645"/>
        <w:gridCol w:w="2062"/>
      </w:tblGrid>
      <w:tr w:rsidR="004B55DF" w:rsidRPr="00423E24" w14:paraId="3098BFA9" w14:textId="77777777">
        <w:tc>
          <w:tcPr>
            <w:tcW w:w="469" w:type="pct"/>
            <w:tcBorders>
              <w:top w:val="single" w:sz="4" w:space="0" w:color="auto"/>
              <w:bottom w:val="single" w:sz="4" w:space="0" w:color="auto"/>
            </w:tcBorders>
          </w:tcPr>
          <w:p w14:paraId="466688B3" w14:textId="77777777" w:rsidR="004B55DF" w:rsidRPr="00EA5AC1" w:rsidRDefault="004B55DF">
            <w:pPr>
              <w:rPr>
                <w:b/>
                <w:szCs w:val="20"/>
              </w:rPr>
            </w:pPr>
            <w:r w:rsidRPr="00EA5AC1">
              <w:rPr>
                <w:b/>
                <w:szCs w:val="20"/>
              </w:rPr>
              <w:t xml:space="preserve">State </w:t>
            </w:r>
          </w:p>
        </w:tc>
        <w:tc>
          <w:tcPr>
            <w:tcW w:w="1044" w:type="pct"/>
            <w:tcBorders>
              <w:top w:val="single" w:sz="4" w:space="0" w:color="auto"/>
              <w:bottom w:val="single" w:sz="4" w:space="0" w:color="auto"/>
            </w:tcBorders>
          </w:tcPr>
          <w:p w14:paraId="66970D5F" w14:textId="77777777" w:rsidR="004B55DF" w:rsidRPr="00EA5AC1" w:rsidRDefault="004B55DF">
            <w:pPr>
              <w:rPr>
                <w:b/>
                <w:szCs w:val="20"/>
              </w:rPr>
            </w:pPr>
            <w:r w:rsidRPr="00EA5AC1">
              <w:rPr>
                <w:b/>
                <w:szCs w:val="20"/>
              </w:rPr>
              <w:t>Institution</w:t>
            </w:r>
          </w:p>
        </w:tc>
        <w:tc>
          <w:tcPr>
            <w:tcW w:w="2415" w:type="pct"/>
            <w:tcBorders>
              <w:top w:val="single" w:sz="4" w:space="0" w:color="auto"/>
              <w:bottom w:val="single" w:sz="4" w:space="0" w:color="auto"/>
            </w:tcBorders>
          </w:tcPr>
          <w:p w14:paraId="4BE8E741" w14:textId="77777777" w:rsidR="004B55DF" w:rsidRPr="00EA5AC1" w:rsidRDefault="004B55DF">
            <w:pPr>
              <w:rPr>
                <w:b/>
                <w:szCs w:val="20"/>
              </w:rPr>
            </w:pPr>
            <w:r w:rsidRPr="00EA5AC1">
              <w:rPr>
                <w:b/>
                <w:szCs w:val="20"/>
              </w:rPr>
              <w:t xml:space="preserve">Data </w:t>
            </w:r>
          </w:p>
        </w:tc>
        <w:tc>
          <w:tcPr>
            <w:tcW w:w="1072" w:type="pct"/>
            <w:tcBorders>
              <w:top w:val="single" w:sz="4" w:space="0" w:color="auto"/>
              <w:bottom w:val="single" w:sz="4" w:space="0" w:color="auto"/>
            </w:tcBorders>
          </w:tcPr>
          <w:p w14:paraId="40FC781D" w14:textId="1C153640" w:rsidR="004B55DF" w:rsidRPr="00EA5AC1" w:rsidRDefault="004B55DF">
            <w:pPr>
              <w:rPr>
                <w:b/>
                <w:szCs w:val="20"/>
              </w:rPr>
            </w:pPr>
            <w:r w:rsidRPr="00EA5AC1">
              <w:rPr>
                <w:b/>
                <w:szCs w:val="20"/>
              </w:rPr>
              <w:t>Requested/publicly available</w:t>
            </w:r>
          </w:p>
        </w:tc>
      </w:tr>
      <w:tr w:rsidR="004B55DF" w:rsidRPr="00423E24" w14:paraId="1AF122A8" w14:textId="77777777">
        <w:tc>
          <w:tcPr>
            <w:tcW w:w="469" w:type="pct"/>
            <w:vMerge w:val="restart"/>
            <w:tcBorders>
              <w:top w:val="single" w:sz="4" w:space="0" w:color="auto"/>
              <w:bottom w:val="single" w:sz="4" w:space="0" w:color="auto"/>
            </w:tcBorders>
          </w:tcPr>
          <w:p w14:paraId="6EFD890A" w14:textId="77777777" w:rsidR="004B55DF" w:rsidRPr="00EA5AC1" w:rsidRDefault="004B55DF">
            <w:pPr>
              <w:rPr>
                <w:szCs w:val="20"/>
              </w:rPr>
            </w:pPr>
            <w:r w:rsidRPr="00EA5AC1">
              <w:rPr>
                <w:szCs w:val="20"/>
              </w:rPr>
              <w:t>Qld</w:t>
            </w:r>
          </w:p>
          <w:p w14:paraId="0F7F2BE3" w14:textId="77777777" w:rsidR="004B55DF" w:rsidRPr="00EA5AC1" w:rsidRDefault="004B55DF">
            <w:pPr>
              <w:rPr>
                <w:szCs w:val="20"/>
              </w:rPr>
            </w:pPr>
          </w:p>
          <w:p w14:paraId="1CC362A2" w14:textId="77777777" w:rsidR="004B55DF" w:rsidRPr="00EA5AC1" w:rsidRDefault="004B55DF">
            <w:pPr>
              <w:rPr>
                <w:szCs w:val="20"/>
              </w:rPr>
            </w:pPr>
          </w:p>
          <w:p w14:paraId="0EAB990D" w14:textId="77777777" w:rsidR="004B55DF" w:rsidRPr="00EA5AC1" w:rsidRDefault="004B55DF">
            <w:pPr>
              <w:rPr>
                <w:szCs w:val="20"/>
              </w:rPr>
            </w:pPr>
            <w:r w:rsidRPr="00EA5AC1">
              <w:rPr>
                <w:szCs w:val="20"/>
              </w:rPr>
              <w:t xml:space="preserve"> </w:t>
            </w:r>
          </w:p>
          <w:p w14:paraId="681B440A" w14:textId="77777777" w:rsidR="004B55DF" w:rsidRPr="00EA5AC1" w:rsidRDefault="004B55DF">
            <w:pPr>
              <w:rPr>
                <w:szCs w:val="20"/>
              </w:rPr>
            </w:pPr>
          </w:p>
        </w:tc>
        <w:tc>
          <w:tcPr>
            <w:tcW w:w="1044" w:type="pct"/>
            <w:tcBorders>
              <w:top w:val="single" w:sz="4" w:space="0" w:color="auto"/>
              <w:bottom w:val="single" w:sz="4" w:space="0" w:color="auto"/>
            </w:tcBorders>
          </w:tcPr>
          <w:p w14:paraId="790E15F0" w14:textId="77777777" w:rsidR="004B55DF" w:rsidRPr="00EA5AC1" w:rsidRDefault="004B55DF">
            <w:pPr>
              <w:rPr>
                <w:szCs w:val="20"/>
              </w:rPr>
            </w:pPr>
            <w:r w:rsidRPr="00EA5AC1">
              <w:rPr>
                <w:szCs w:val="20"/>
              </w:rPr>
              <w:t>Qld Tertiary Admissions Centre</w:t>
            </w:r>
          </w:p>
        </w:tc>
        <w:tc>
          <w:tcPr>
            <w:tcW w:w="2415" w:type="pct"/>
            <w:tcBorders>
              <w:top w:val="single" w:sz="4" w:space="0" w:color="auto"/>
              <w:bottom w:val="single" w:sz="4" w:space="0" w:color="auto"/>
            </w:tcBorders>
          </w:tcPr>
          <w:p w14:paraId="2C6C7E04" w14:textId="4F902340"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non-Indigenous ATAR recipients for 2020</w:t>
            </w:r>
            <w:r w:rsidR="004457F4">
              <w:rPr>
                <w:rFonts w:ascii="Times New Roman" w:hAnsi="Times New Roman" w:cs="Times New Roman"/>
                <w:sz w:val="20"/>
                <w:szCs w:val="20"/>
              </w:rPr>
              <w:t>–</w:t>
            </w:r>
            <w:r w:rsidRPr="00EA5AC1">
              <w:rPr>
                <w:rFonts w:ascii="Times New Roman" w:hAnsi="Times New Roman" w:cs="Times New Roman"/>
                <w:sz w:val="20"/>
                <w:szCs w:val="20"/>
              </w:rPr>
              <w:t xml:space="preserve">2022 </w:t>
            </w:r>
          </w:p>
          <w:p w14:paraId="592B3399" w14:textId="4FCC7766"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Indigenous ATAR recipients and total number of Indigenous </w:t>
            </w:r>
            <w:r w:rsidR="00D57B91">
              <w:rPr>
                <w:rFonts w:ascii="Times New Roman" w:hAnsi="Times New Roman" w:cs="Times New Roman"/>
                <w:sz w:val="20"/>
                <w:szCs w:val="20"/>
              </w:rPr>
              <w:t>Y</w:t>
            </w:r>
            <w:r w:rsidRPr="00EA5AC1">
              <w:rPr>
                <w:rFonts w:ascii="Times New Roman" w:hAnsi="Times New Roman" w:cs="Times New Roman"/>
                <w:sz w:val="20"/>
                <w:szCs w:val="20"/>
              </w:rPr>
              <w:t>ear 12 students 2020</w:t>
            </w:r>
            <w:r w:rsidR="004457F4">
              <w:rPr>
                <w:rFonts w:ascii="Times New Roman" w:hAnsi="Times New Roman" w:cs="Times New Roman"/>
                <w:sz w:val="20"/>
                <w:szCs w:val="20"/>
              </w:rPr>
              <w:t>–</w:t>
            </w:r>
            <w:r w:rsidRPr="00EA5AC1">
              <w:rPr>
                <w:rFonts w:ascii="Times New Roman" w:hAnsi="Times New Roman" w:cs="Times New Roman"/>
                <w:sz w:val="20"/>
                <w:szCs w:val="20"/>
              </w:rPr>
              <w:t xml:space="preserve">2022 </w:t>
            </w:r>
          </w:p>
          <w:p w14:paraId="69674DBF" w14:textId="7777777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Publicly available data for total ATAR eligibility included in QTAC ATAR reports </w:t>
            </w:r>
          </w:p>
        </w:tc>
        <w:tc>
          <w:tcPr>
            <w:tcW w:w="1072" w:type="pct"/>
            <w:tcBorders>
              <w:top w:val="single" w:sz="4" w:space="0" w:color="auto"/>
              <w:bottom w:val="single" w:sz="4" w:space="0" w:color="auto"/>
            </w:tcBorders>
          </w:tcPr>
          <w:p w14:paraId="3B1E7812" w14:textId="26BBAF02" w:rsidR="004B55DF" w:rsidRPr="00EA5AC1" w:rsidRDefault="004B55DF">
            <w:pPr>
              <w:rPr>
                <w:szCs w:val="20"/>
              </w:rPr>
            </w:pPr>
            <w:r w:rsidRPr="00EA5AC1">
              <w:rPr>
                <w:szCs w:val="20"/>
              </w:rPr>
              <w:t xml:space="preserve">Requested </w:t>
            </w:r>
            <w:r w:rsidR="00D57B91">
              <w:rPr>
                <w:szCs w:val="20"/>
              </w:rPr>
              <w:t>—</w:t>
            </w:r>
            <w:r w:rsidR="00D57B91" w:rsidRPr="00EA5AC1">
              <w:rPr>
                <w:szCs w:val="20"/>
              </w:rPr>
              <w:t xml:space="preserve"> </w:t>
            </w:r>
            <w:r w:rsidRPr="00EA5AC1">
              <w:rPr>
                <w:szCs w:val="20"/>
              </w:rPr>
              <w:t>not provided</w:t>
            </w:r>
          </w:p>
        </w:tc>
      </w:tr>
      <w:tr w:rsidR="004B55DF" w:rsidRPr="00423E24" w14:paraId="5E76222A" w14:textId="77777777">
        <w:trPr>
          <w:trHeight w:val="1479"/>
        </w:trPr>
        <w:tc>
          <w:tcPr>
            <w:tcW w:w="469" w:type="pct"/>
            <w:vMerge/>
            <w:tcBorders>
              <w:top w:val="single" w:sz="4" w:space="0" w:color="auto"/>
            </w:tcBorders>
          </w:tcPr>
          <w:p w14:paraId="2FCB51E3" w14:textId="77777777" w:rsidR="004B55DF" w:rsidRPr="00EA5AC1" w:rsidRDefault="004B55DF">
            <w:pPr>
              <w:rPr>
                <w:szCs w:val="20"/>
              </w:rPr>
            </w:pPr>
          </w:p>
        </w:tc>
        <w:tc>
          <w:tcPr>
            <w:tcW w:w="1044" w:type="pct"/>
            <w:tcBorders>
              <w:top w:val="single" w:sz="4" w:space="0" w:color="auto"/>
              <w:bottom w:val="single" w:sz="4" w:space="0" w:color="auto"/>
            </w:tcBorders>
          </w:tcPr>
          <w:p w14:paraId="2611368D" w14:textId="77777777" w:rsidR="004B55DF" w:rsidRPr="00EA5AC1" w:rsidRDefault="004B55DF">
            <w:pPr>
              <w:rPr>
                <w:szCs w:val="20"/>
              </w:rPr>
            </w:pPr>
            <w:r w:rsidRPr="00EA5AC1">
              <w:rPr>
                <w:szCs w:val="20"/>
              </w:rPr>
              <w:t>Queensland Curriculum Assessment Authority</w:t>
            </w:r>
          </w:p>
        </w:tc>
        <w:tc>
          <w:tcPr>
            <w:tcW w:w="2415" w:type="pct"/>
            <w:tcBorders>
              <w:top w:val="single" w:sz="4" w:space="0" w:color="auto"/>
              <w:bottom w:val="single" w:sz="4" w:space="0" w:color="auto"/>
            </w:tcBorders>
          </w:tcPr>
          <w:p w14:paraId="7D6684D4" w14:textId="17813124" w:rsidR="004B55DF" w:rsidRPr="00EA5AC1" w:rsidRDefault="004B55DF" w:rsidP="004B55DF">
            <w:pPr>
              <w:pStyle w:val="ListParagraph"/>
              <w:numPr>
                <w:ilvl w:val="0"/>
                <w:numId w:val="37"/>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ATAR recipients for 2020</w:t>
            </w:r>
            <w:r w:rsidR="004457F4">
              <w:rPr>
                <w:rFonts w:ascii="Times New Roman" w:hAnsi="Times New Roman" w:cs="Times New Roman"/>
                <w:sz w:val="20"/>
                <w:szCs w:val="20"/>
              </w:rPr>
              <w:t>–</w:t>
            </w:r>
            <w:r w:rsidRPr="00EA5AC1">
              <w:rPr>
                <w:rFonts w:ascii="Times New Roman" w:hAnsi="Times New Roman" w:cs="Times New Roman"/>
                <w:sz w:val="20"/>
                <w:szCs w:val="20"/>
              </w:rPr>
              <w:t xml:space="preserve">2022 </w:t>
            </w:r>
          </w:p>
          <w:p w14:paraId="6102AF67" w14:textId="3E9C1B13" w:rsidR="004B55DF" w:rsidRPr="00EA5AC1" w:rsidRDefault="004B55DF" w:rsidP="004B55DF">
            <w:pPr>
              <w:pStyle w:val="ListParagraph"/>
              <w:numPr>
                <w:ilvl w:val="0"/>
                <w:numId w:val="37"/>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Indigenous ATAR recipients and total number of Indigenous </w:t>
            </w:r>
            <w:r w:rsidR="00D57B91">
              <w:rPr>
                <w:rFonts w:ascii="Times New Roman" w:hAnsi="Times New Roman" w:cs="Times New Roman"/>
                <w:sz w:val="20"/>
                <w:szCs w:val="20"/>
              </w:rPr>
              <w:t>Y</w:t>
            </w:r>
            <w:r w:rsidRPr="00EA5AC1">
              <w:rPr>
                <w:rFonts w:ascii="Times New Roman" w:hAnsi="Times New Roman" w:cs="Times New Roman"/>
                <w:sz w:val="20"/>
                <w:szCs w:val="20"/>
              </w:rPr>
              <w:t>ear 12 students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tc>
        <w:tc>
          <w:tcPr>
            <w:tcW w:w="1072" w:type="pct"/>
            <w:tcBorders>
              <w:top w:val="single" w:sz="4" w:space="0" w:color="auto"/>
              <w:bottom w:val="single" w:sz="4" w:space="0" w:color="auto"/>
            </w:tcBorders>
          </w:tcPr>
          <w:p w14:paraId="3F0FDBF5" w14:textId="47F016B8" w:rsidR="004B55DF" w:rsidRPr="00EA5AC1" w:rsidRDefault="004B55DF">
            <w:pPr>
              <w:rPr>
                <w:szCs w:val="20"/>
              </w:rPr>
            </w:pPr>
            <w:r w:rsidRPr="00EA5AC1">
              <w:rPr>
                <w:szCs w:val="20"/>
              </w:rPr>
              <w:t xml:space="preserve">Requested </w:t>
            </w:r>
            <w:r w:rsidR="00D57B91">
              <w:rPr>
                <w:szCs w:val="20"/>
              </w:rPr>
              <w:t>—</w:t>
            </w:r>
            <w:r w:rsidR="00D57B91" w:rsidRPr="00EA5AC1">
              <w:rPr>
                <w:szCs w:val="20"/>
              </w:rPr>
              <w:t xml:space="preserve"> </w:t>
            </w:r>
            <w:r w:rsidRPr="00EA5AC1">
              <w:rPr>
                <w:szCs w:val="20"/>
              </w:rPr>
              <w:t>not provided</w:t>
            </w:r>
          </w:p>
        </w:tc>
      </w:tr>
      <w:tr w:rsidR="004B55DF" w:rsidRPr="00423E24" w14:paraId="71F6E920" w14:textId="77777777">
        <w:tc>
          <w:tcPr>
            <w:tcW w:w="469" w:type="pct"/>
            <w:vMerge/>
          </w:tcPr>
          <w:p w14:paraId="75098F21" w14:textId="77777777" w:rsidR="004B55DF" w:rsidRPr="00EA5AC1" w:rsidRDefault="004B55DF">
            <w:pPr>
              <w:rPr>
                <w:szCs w:val="20"/>
              </w:rPr>
            </w:pPr>
          </w:p>
        </w:tc>
        <w:tc>
          <w:tcPr>
            <w:tcW w:w="1044" w:type="pct"/>
            <w:tcBorders>
              <w:top w:val="single" w:sz="4" w:space="0" w:color="auto"/>
              <w:bottom w:val="single" w:sz="4" w:space="0" w:color="auto"/>
            </w:tcBorders>
          </w:tcPr>
          <w:p w14:paraId="0AC4D815" w14:textId="3A500720" w:rsidR="004B55DF" w:rsidRPr="00EA5AC1" w:rsidRDefault="004B55DF">
            <w:pPr>
              <w:rPr>
                <w:szCs w:val="20"/>
              </w:rPr>
            </w:pPr>
            <w:r w:rsidRPr="00EA5AC1">
              <w:rPr>
                <w:szCs w:val="20"/>
              </w:rPr>
              <w:t xml:space="preserve">Next Step </w:t>
            </w:r>
          </w:p>
        </w:tc>
        <w:tc>
          <w:tcPr>
            <w:tcW w:w="2415" w:type="pct"/>
            <w:tcBorders>
              <w:top w:val="single" w:sz="4" w:space="0" w:color="auto"/>
              <w:bottom w:val="single" w:sz="4" w:space="0" w:color="auto"/>
            </w:tcBorders>
          </w:tcPr>
          <w:p w14:paraId="3CA2511B" w14:textId="2DF92B8D" w:rsidR="004B55DF" w:rsidRPr="00EA5AC1" w:rsidRDefault="004B55DF" w:rsidP="004B55DF">
            <w:pPr>
              <w:pStyle w:val="ListParagraph"/>
              <w:numPr>
                <w:ilvl w:val="0"/>
                <w:numId w:val="37"/>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Postsecondary outcomes of Indigenous students based on ATAR status</w:t>
            </w:r>
          </w:p>
        </w:tc>
        <w:tc>
          <w:tcPr>
            <w:tcW w:w="1072" w:type="pct"/>
            <w:tcBorders>
              <w:top w:val="single" w:sz="4" w:space="0" w:color="auto"/>
              <w:bottom w:val="single" w:sz="4" w:space="0" w:color="auto"/>
            </w:tcBorders>
          </w:tcPr>
          <w:p w14:paraId="3A0E4A7B" w14:textId="716909B9" w:rsidR="004B55DF" w:rsidRPr="00EA5AC1" w:rsidRDefault="004B55DF">
            <w:pPr>
              <w:rPr>
                <w:szCs w:val="20"/>
              </w:rPr>
            </w:pPr>
            <w:r w:rsidRPr="00EA5AC1">
              <w:rPr>
                <w:szCs w:val="20"/>
              </w:rPr>
              <w:t xml:space="preserve">Publicly available data obtained </w:t>
            </w:r>
            <w:r w:rsidR="00D57B91">
              <w:rPr>
                <w:szCs w:val="20"/>
              </w:rPr>
              <w:t>—</w:t>
            </w:r>
            <w:r w:rsidR="00D57B91" w:rsidRPr="00EA5AC1">
              <w:rPr>
                <w:szCs w:val="20"/>
              </w:rPr>
              <w:t xml:space="preserve"> </w:t>
            </w:r>
            <w:r w:rsidRPr="00EA5AC1">
              <w:rPr>
                <w:szCs w:val="20"/>
              </w:rPr>
              <w:t>in addition, custom data received for 2010</w:t>
            </w:r>
            <w:r w:rsidR="004457F4">
              <w:rPr>
                <w:szCs w:val="20"/>
              </w:rPr>
              <w:t>–</w:t>
            </w:r>
            <w:r w:rsidRPr="00EA5AC1">
              <w:rPr>
                <w:szCs w:val="20"/>
              </w:rPr>
              <w:t>2022</w:t>
            </w:r>
          </w:p>
          <w:p w14:paraId="514C2A13" w14:textId="77777777" w:rsidR="004B55DF" w:rsidRPr="00EA5AC1" w:rsidRDefault="004B55DF">
            <w:pPr>
              <w:rPr>
                <w:szCs w:val="20"/>
              </w:rPr>
            </w:pPr>
          </w:p>
        </w:tc>
      </w:tr>
      <w:tr w:rsidR="004B55DF" w:rsidRPr="00423E24" w14:paraId="0BA172E5" w14:textId="77777777">
        <w:tc>
          <w:tcPr>
            <w:tcW w:w="469" w:type="pct"/>
            <w:vMerge w:val="restart"/>
          </w:tcPr>
          <w:p w14:paraId="285A62BE" w14:textId="77777777" w:rsidR="004B55DF" w:rsidRPr="00EA5AC1" w:rsidRDefault="004B55DF">
            <w:pPr>
              <w:rPr>
                <w:szCs w:val="20"/>
              </w:rPr>
            </w:pPr>
            <w:r w:rsidRPr="00EA5AC1">
              <w:rPr>
                <w:szCs w:val="20"/>
              </w:rPr>
              <w:t>WA</w:t>
            </w:r>
          </w:p>
          <w:p w14:paraId="2E8ADF14" w14:textId="77777777" w:rsidR="004B55DF" w:rsidRPr="00EA5AC1" w:rsidRDefault="004B55DF">
            <w:pPr>
              <w:rPr>
                <w:szCs w:val="20"/>
              </w:rPr>
            </w:pPr>
          </w:p>
        </w:tc>
        <w:tc>
          <w:tcPr>
            <w:tcW w:w="1044" w:type="pct"/>
            <w:tcBorders>
              <w:top w:val="single" w:sz="4" w:space="0" w:color="auto"/>
            </w:tcBorders>
          </w:tcPr>
          <w:p w14:paraId="209CC3C1" w14:textId="77777777" w:rsidR="004B55DF" w:rsidRPr="00EA5AC1" w:rsidRDefault="004B55DF">
            <w:pPr>
              <w:rPr>
                <w:szCs w:val="20"/>
              </w:rPr>
            </w:pPr>
            <w:r w:rsidRPr="00EA5AC1">
              <w:rPr>
                <w:szCs w:val="20"/>
              </w:rPr>
              <w:t xml:space="preserve">WA Department of Education </w:t>
            </w:r>
          </w:p>
        </w:tc>
        <w:tc>
          <w:tcPr>
            <w:tcW w:w="2415" w:type="pct"/>
            <w:tcBorders>
              <w:top w:val="single" w:sz="4" w:space="0" w:color="auto"/>
            </w:tcBorders>
          </w:tcPr>
          <w:p w14:paraId="390E9383" w14:textId="6A7978B9"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ATAR recipients for 2020</w:t>
            </w:r>
            <w:r w:rsidR="00D57B91">
              <w:rPr>
                <w:rFonts w:ascii="Times New Roman" w:hAnsi="Times New Roman" w:cs="Times New Roman"/>
                <w:sz w:val="20"/>
                <w:szCs w:val="20"/>
              </w:rPr>
              <w:t>–</w:t>
            </w:r>
            <w:r w:rsidRPr="00EA5AC1">
              <w:rPr>
                <w:rFonts w:ascii="Times New Roman" w:hAnsi="Times New Roman" w:cs="Times New Roman"/>
                <w:sz w:val="20"/>
                <w:szCs w:val="20"/>
              </w:rPr>
              <w:t>2023</w:t>
            </w:r>
          </w:p>
          <w:p w14:paraId="7F3DDE9B" w14:textId="23429A45"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Indigenous ATAR recipients and total number of Indigenous </w:t>
            </w:r>
            <w:r w:rsidR="00D57B91">
              <w:rPr>
                <w:rFonts w:ascii="Times New Roman" w:hAnsi="Times New Roman" w:cs="Times New Roman"/>
                <w:sz w:val="20"/>
                <w:szCs w:val="20"/>
              </w:rPr>
              <w:t>Y</w:t>
            </w:r>
            <w:r w:rsidRPr="00EA5AC1">
              <w:rPr>
                <w:rFonts w:ascii="Times New Roman" w:hAnsi="Times New Roman" w:cs="Times New Roman"/>
                <w:sz w:val="20"/>
                <w:szCs w:val="20"/>
              </w:rPr>
              <w:t>ear 12 students 2020</w:t>
            </w:r>
            <w:r w:rsidR="004457F4">
              <w:rPr>
                <w:rFonts w:ascii="Times New Roman" w:hAnsi="Times New Roman" w:cs="Times New Roman"/>
                <w:sz w:val="20"/>
                <w:szCs w:val="20"/>
              </w:rPr>
              <w:t>–</w:t>
            </w:r>
            <w:r w:rsidRPr="00EA5AC1">
              <w:rPr>
                <w:rFonts w:ascii="Times New Roman" w:hAnsi="Times New Roman" w:cs="Times New Roman"/>
                <w:sz w:val="20"/>
                <w:szCs w:val="20"/>
              </w:rPr>
              <w:t>2023</w:t>
            </w:r>
          </w:p>
        </w:tc>
        <w:tc>
          <w:tcPr>
            <w:tcW w:w="1072" w:type="pct"/>
            <w:tcBorders>
              <w:top w:val="single" w:sz="4" w:space="0" w:color="auto"/>
            </w:tcBorders>
          </w:tcPr>
          <w:p w14:paraId="0391CE3B" w14:textId="536A9E47" w:rsidR="004B55DF" w:rsidRPr="00EA5AC1" w:rsidRDefault="004B55DF">
            <w:pPr>
              <w:rPr>
                <w:szCs w:val="20"/>
              </w:rPr>
            </w:pPr>
            <w:r w:rsidRPr="00EA5AC1">
              <w:rPr>
                <w:szCs w:val="20"/>
              </w:rPr>
              <w:t xml:space="preserve">Custom data received </w:t>
            </w:r>
          </w:p>
        </w:tc>
      </w:tr>
      <w:tr w:rsidR="004B55DF" w:rsidRPr="00423E24" w14:paraId="0C2A8243" w14:textId="77777777">
        <w:tc>
          <w:tcPr>
            <w:tcW w:w="469" w:type="pct"/>
            <w:vMerge/>
            <w:tcBorders>
              <w:bottom w:val="single" w:sz="4" w:space="0" w:color="auto"/>
            </w:tcBorders>
          </w:tcPr>
          <w:p w14:paraId="4BC17D47" w14:textId="77777777" w:rsidR="004B55DF" w:rsidRPr="00EA5AC1" w:rsidRDefault="004B55DF">
            <w:pPr>
              <w:rPr>
                <w:szCs w:val="20"/>
              </w:rPr>
            </w:pPr>
          </w:p>
        </w:tc>
        <w:tc>
          <w:tcPr>
            <w:tcW w:w="1044" w:type="pct"/>
            <w:tcBorders>
              <w:bottom w:val="single" w:sz="4" w:space="0" w:color="auto"/>
            </w:tcBorders>
          </w:tcPr>
          <w:p w14:paraId="58EFEE93" w14:textId="14AE7F88" w:rsidR="004B55DF" w:rsidRPr="00EA5AC1" w:rsidRDefault="004B55DF">
            <w:pPr>
              <w:rPr>
                <w:szCs w:val="20"/>
              </w:rPr>
            </w:pPr>
            <w:r w:rsidRPr="00EA5AC1">
              <w:rPr>
                <w:szCs w:val="20"/>
              </w:rPr>
              <w:t>Western Australia</w:t>
            </w:r>
            <w:r w:rsidR="00D57B91">
              <w:rPr>
                <w:szCs w:val="20"/>
              </w:rPr>
              <w:t>n</w:t>
            </w:r>
            <w:r w:rsidRPr="00EA5AC1">
              <w:rPr>
                <w:szCs w:val="20"/>
              </w:rPr>
              <w:t xml:space="preserve"> Department of Education </w:t>
            </w:r>
            <w:r w:rsidR="00D57B91">
              <w:rPr>
                <w:szCs w:val="20"/>
              </w:rPr>
              <w:t>a</w:t>
            </w:r>
            <w:r w:rsidRPr="00EA5AC1">
              <w:rPr>
                <w:szCs w:val="20"/>
              </w:rPr>
              <w:t xml:space="preserve">nnual </w:t>
            </w:r>
            <w:r w:rsidR="00D57B91">
              <w:rPr>
                <w:szCs w:val="20"/>
              </w:rPr>
              <w:t>r</w:t>
            </w:r>
            <w:r w:rsidRPr="00EA5AC1">
              <w:rPr>
                <w:szCs w:val="20"/>
              </w:rPr>
              <w:t xml:space="preserve">eports </w:t>
            </w:r>
          </w:p>
        </w:tc>
        <w:tc>
          <w:tcPr>
            <w:tcW w:w="2415" w:type="pct"/>
            <w:tcBorders>
              <w:bottom w:val="single" w:sz="4" w:space="0" w:color="auto"/>
            </w:tcBorders>
          </w:tcPr>
          <w:p w14:paraId="07A058D2" w14:textId="77777777" w:rsidR="004B55DF" w:rsidRPr="00EA5AC1" w:rsidRDefault="004B55DF" w:rsidP="004B55DF">
            <w:pPr>
              <w:pStyle w:val="ListParagraph"/>
              <w:numPr>
                <w:ilvl w:val="0"/>
                <w:numId w:val="38"/>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Median ATAR results Indigenous and non-Indigenous  </w:t>
            </w:r>
          </w:p>
        </w:tc>
        <w:tc>
          <w:tcPr>
            <w:tcW w:w="1072" w:type="pct"/>
            <w:tcBorders>
              <w:bottom w:val="single" w:sz="4" w:space="0" w:color="auto"/>
            </w:tcBorders>
          </w:tcPr>
          <w:p w14:paraId="2D7C147B" w14:textId="77777777" w:rsidR="004B55DF" w:rsidRPr="00EA5AC1" w:rsidRDefault="004B55DF">
            <w:pPr>
              <w:rPr>
                <w:szCs w:val="20"/>
              </w:rPr>
            </w:pPr>
            <w:r w:rsidRPr="00EA5AC1">
              <w:rPr>
                <w:szCs w:val="20"/>
              </w:rPr>
              <w:t xml:space="preserve">Publicly available </w:t>
            </w:r>
          </w:p>
        </w:tc>
      </w:tr>
      <w:tr w:rsidR="004B55DF" w:rsidRPr="00423E24" w14:paraId="086783F0" w14:textId="77777777">
        <w:tc>
          <w:tcPr>
            <w:tcW w:w="469" w:type="pct"/>
            <w:tcBorders>
              <w:top w:val="single" w:sz="4" w:space="0" w:color="auto"/>
              <w:bottom w:val="single" w:sz="4" w:space="0" w:color="auto"/>
            </w:tcBorders>
          </w:tcPr>
          <w:p w14:paraId="55D3F411" w14:textId="77777777" w:rsidR="004B55DF" w:rsidRPr="00EA5AC1" w:rsidRDefault="004B55DF">
            <w:pPr>
              <w:rPr>
                <w:szCs w:val="20"/>
              </w:rPr>
            </w:pPr>
            <w:r w:rsidRPr="00EA5AC1">
              <w:rPr>
                <w:szCs w:val="20"/>
              </w:rPr>
              <w:t>NSW</w:t>
            </w:r>
          </w:p>
        </w:tc>
        <w:tc>
          <w:tcPr>
            <w:tcW w:w="1044" w:type="pct"/>
            <w:tcBorders>
              <w:top w:val="single" w:sz="4" w:space="0" w:color="auto"/>
              <w:bottom w:val="single" w:sz="4" w:space="0" w:color="auto"/>
            </w:tcBorders>
          </w:tcPr>
          <w:p w14:paraId="3F472510" w14:textId="77777777" w:rsidR="004B55DF" w:rsidRPr="00EA5AC1" w:rsidRDefault="004B55DF">
            <w:pPr>
              <w:rPr>
                <w:szCs w:val="20"/>
              </w:rPr>
            </w:pPr>
            <w:r w:rsidRPr="00EA5AC1">
              <w:rPr>
                <w:szCs w:val="20"/>
              </w:rPr>
              <w:t>Universities Admissions Centre (UAC)</w:t>
            </w:r>
          </w:p>
        </w:tc>
        <w:tc>
          <w:tcPr>
            <w:tcW w:w="2415" w:type="pct"/>
            <w:tcBorders>
              <w:top w:val="single" w:sz="4" w:space="0" w:color="auto"/>
              <w:bottom w:val="single" w:sz="4" w:space="0" w:color="auto"/>
            </w:tcBorders>
          </w:tcPr>
          <w:p w14:paraId="2765BE71" w14:textId="0D91C459"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ATAR recipients for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p w14:paraId="0547B08C" w14:textId="2ED4DDB4"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Indigenous ATAR recipients and total number of Indigenous </w:t>
            </w:r>
            <w:r w:rsidR="00AC11A7">
              <w:rPr>
                <w:rFonts w:ascii="Times New Roman" w:hAnsi="Times New Roman" w:cs="Times New Roman"/>
                <w:sz w:val="20"/>
                <w:szCs w:val="20"/>
              </w:rPr>
              <w:t>Y</w:t>
            </w:r>
            <w:r w:rsidRPr="00EA5AC1">
              <w:rPr>
                <w:rFonts w:ascii="Times New Roman" w:hAnsi="Times New Roman" w:cs="Times New Roman"/>
                <w:sz w:val="20"/>
                <w:szCs w:val="20"/>
              </w:rPr>
              <w:t>ear 12 students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p w14:paraId="2A4CA6E1" w14:textId="7777777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Median ATAR of Indigenous and non-Indigenous students</w:t>
            </w:r>
          </w:p>
        </w:tc>
        <w:tc>
          <w:tcPr>
            <w:tcW w:w="1072" w:type="pct"/>
            <w:tcBorders>
              <w:top w:val="single" w:sz="4" w:space="0" w:color="auto"/>
              <w:bottom w:val="single" w:sz="4" w:space="0" w:color="auto"/>
            </w:tcBorders>
          </w:tcPr>
          <w:p w14:paraId="59AACC2B" w14:textId="77777777" w:rsidR="004B55DF" w:rsidRPr="00EA5AC1" w:rsidRDefault="004B55DF">
            <w:pPr>
              <w:rPr>
                <w:szCs w:val="20"/>
              </w:rPr>
            </w:pPr>
            <w:r w:rsidRPr="00EA5AC1">
              <w:rPr>
                <w:szCs w:val="20"/>
              </w:rPr>
              <w:t xml:space="preserve">Custom data received </w:t>
            </w:r>
          </w:p>
        </w:tc>
      </w:tr>
      <w:tr w:rsidR="004B55DF" w:rsidRPr="00423E24" w14:paraId="5510B5C5" w14:textId="77777777">
        <w:tc>
          <w:tcPr>
            <w:tcW w:w="469" w:type="pct"/>
            <w:tcBorders>
              <w:top w:val="single" w:sz="4" w:space="0" w:color="auto"/>
            </w:tcBorders>
          </w:tcPr>
          <w:p w14:paraId="063D3A66" w14:textId="77777777" w:rsidR="004B55DF" w:rsidRPr="00EA5AC1" w:rsidRDefault="004B55DF">
            <w:pPr>
              <w:rPr>
                <w:szCs w:val="20"/>
              </w:rPr>
            </w:pPr>
            <w:r w:rsidRPr="00EA5AC1">
              <w:rPr>
                <w:szCs w:val="20"/>
              </w:rPr>
              <w:t>NSW</w:t>
            </w:r>
          </w:p>
        </w:tc>
        <w:tc>
          <w:tcPr>
            <w:tcW w:w="1044" w:type="pct"/>
            <w:tcBorders>
              <w:top w:val="single" w:sz="4" w:space="0" w:color="auto"/>
              <w:bottom w:val="single" w:sz="4" w:space="0" w:color="auto"/>
            </w:tcBorders>
          </w:tcPr>
          <w:p w14:paraId="75F614F9" w14:textId="77777777" w:rsidR="004B55DF" w:rsidRPr="00EA5AC1" w:rsidRDefault="004B55DF">
            <w:pPr>
              <w:rPr>
                <w:szCs w:val="20"/>
              </w:rPr>
            </w:pPr>
            <w:r w:rsidRPr="00EA5AC1">
              <w:rPr>
                <w:szCs w:val="20"/>
              </w:rPr>
              <w:t xml:space="preserve">NSW Department of Education </w:t>
            </w:r>
          </w:p>
        </w:tc>
        <w:tc>
          <w:tcPr>
            <w:tcW w:w="2415" w:type="pct"/>
            <w:tcBorders>
              <w:top w:val="single" w:sz="4" w:space="0" w:color="auto"/>
              <w:bottom w:val="single" w:sz="4" w:space="0" w:color="auto"/>
            </w:tcBorders>
          </w:tcPr>
          <w:p w14:paraId="7C8F7DF4" w14:textId="356750A6"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Total number of </w:t>
            </w:r>
            <w:r w:rsidR="00AC11A7">
              <w:rPr>
                <w:rFonts w:ascii="Times New Roman" w:hAnsi="Times New Roman" w:cs="Times New Roman"/>
                <w:sz w:val="20"/>
                <w:szCs w:val="20"/>
              </w:rPr>
              <w:t>Y</w:t>
            </w:r>
            <w:r w:rsidRPr="00EA5AC1">
              <w:rPr>
                <w:rFonts w:ascii="Times New Roman" w:hAnsi="Times New Roman" w:cs="Times New Roman"/>
                <w:sz w:val="20"/>
                <w:szCs w:val="20"/>
              </w:rPr>
              <w:t xml:space="preserve">ear 12 students </w:t>
            </w:r>
          </w:p>
        </w:tc>
        <w:tc>
          <w:tcPr>
            <w:tcW w:w="1072" w:type="pct"/>
            <w:tcBorders>
              <w:top w:val="single" w:sz="4" w:space="0" w:color="auto"/>
              <w:bottom w:val="single" w:sz="4" w:space="0" w:color="auto"/>
            </w:tcBorders>
          </w:tcPr>
          <w:p w14:paraId="27DFF041" w14:textId="77777777" w:rsidR="004B55DF" w:rsidRPr="00EA5AC1" w:rsidRDefault="004B55DF">
            <w:pPr>
              <w:rPr>
                <w:szCs w:val="20"/>
              </w:rPr>
            </w:pPr>
            <w:r w:rsidRPr="00EA5AC1">
              <w:rPr>
                <w:szCs w:val="20"/>
              </w:rPr>
              <w:t xml:space="preserve">Publicly available data </w:t>
            </w:r>
          </w:p>
        </w:tc>
      </w:tr>
      <w:tr w:rsidR="004B55DF" w:rsidRPr="00423E24" w14:paraId="2B109EF7" w14:textId="77777777">
        <w:tc>
          <w:tcPr>
            <w:tcW w:w="469" w:type="pct"/>
            <w:vMerge w:val="restart"/>
            <w:tcBorders>
              <w:bottom w:val="single" w:sz="4" w:space="0" w:color="auto"/>
            </w:tcBorders>
          </w:tcPr>
          <w:p w14:paraId="7D1A1D54" w14:textId="77777777" w:rsidR="004B55DF" w:rsidRPr="00EA5AC1" w:rsidRDefault="004B55DF">
            <w:pPr>
              <w:rPr>
                <w:szCs w:val="20"/>
              </w:rPr>
            </w:pPr>
            <w:r w:rsidRPr="00EA5AC1">
              <w:rPr>
                <w:szCs w:val="20"/>
              </w:rPr>
              <w:t xml:space="preserve">Vic </w:t>
            </w:r>
          </w:p>
          <w:p w14:paraId="6DE42CC1" w14:textId="77777777" w:rsidR="004B55DF" w:rsidRPr="00EA5AC1" w:rsidRDefault="004B55DF">
            <w:pPr>
              <w:rPr>
                <w:szCs w:val="20"/>
              </w:rPr>
            </w:pPr>
          </w:p>
        </w:tc>
        <w:tc>
          <w:tcPr>
            <w:tcW w:w="1044" w:type="pct"/>
            <w:tcBorders>
              <w:top w:val="single" w:sz="4" w:space="0" w:color="auto"/>
              <w:bottom w:val="single" w:sz="4" w:space="0" w:color="auto"/>
            </w:tcBorders>
          </w:tcPr>
          <w:p w14:paraId="6595D116" w14:textId="7A73D3A9" w:rsidR="004B55DF" w:rsidRPr="00EA5AC1" w:rsidRDefault="004B55DF">
            <w:pPr>
              <w:rPr>
                <w:szCs w:val="20"/>
              </w:rPr>
            </w:pPr>
            <w:r w:rsidRPr="00EA5AC1">
              <w:rPr>
                <w:szCs w:val="20"/>
              </w:rPr>
              <w:t>Victorian Curriculum and Assessment Authority (VCAA)</w:t>
            </w:r>
          </w:p>
        </w:tc>
        <w:tc>
          <w:tcPr>
            <w:tcW w:w="2415" w:type="pct"/>
            <w:tcBorders>
              <w:top w:val="single" w:sz="4" w:space="0" w:color="auto"/>
              <w:bottom w:val="single" w:sz="4" w:space="0" w:color="auto"/>
            </w:tcBorders>
          </w:tcPr>
          <w:p w14:paraId="3F832544" w14:textId="0F65FFF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Indigenous students in Victoria who graduated </w:t>
            </w:r>
            <w:r w:rsidR="00AF0C84">
              <w:rPr>
                <w:rFonts w:ascii="Times New Roman" w:hAnsi="Times New Roman" w:cs="Times New Roman"/>
                <w:sz w:val="20"/>
                <w:szCs w:val="20"/>
              </w:rPr>
              <w:t>Y</w:t>
            </w:r>
            <w:r w:rsidRPr="00EA5AC1">
              <w:rPr>
                <w:rFonts w:ascii="Times New Roman" w:hAnsi="Times New Roman" w:cs="Times New Roman"/>
                <w:sz w:val="20"/>
                <w:szCs w:val="20"/>
              </w:rPr>
              <w:t>ear 12,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p w14:paraId="2539673D" w14:textId="369892D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Number of non-Indigenous students who graduated </w:t>
            </w:r>
            <w:r w:rsidR="00AF0C84">
              <w:rPr>
                <w:rFonts w:ascii="Times New Roman" w:hAnsi="Times New Roman" w:cs="Times New Roman"/>
                <w:sz w:val="20"/>
                <w:szCs w:val="20"/>
              </w:rPr>
              <w:t>Y</w:t>
            </w:r>
            <w:r w:rsidRPr="00EA5AC1">
              <w:rPr>
                <w:rFonts w:ascii="Times New Roman" w:hAnsi="Times New Roman" w:cs="Times New Roman"/>
                <w:sz w:val="20"/>
                <w:szCs w:val="20"/>
              </w:rPr>
              <w:t>ear 12, 2020</w:t>
            </w:r>
            <w:r w:rsidR="004457F4">
              <w:rPr>
                <w:rFonts w:ascii="Times New Roman" w:hAnsi="Times New Roman" w:cs="Times New Roman"/>
                <w:sz w:val="20"/>
                <w:szCs w:val="20"/>
              </w:rPr>
              <w:t>–</w:t>
            </w:r>
            <w:r w:rsidRPr="00EA5AC1">
              <w:rPr>
                <w:rFonts w:ascii="Times New Roman" w:hAnsi="Times New Roman" w:cs="Times New Roman"/>
                <w:sz w:val="20"/>
                <w:szCs w:val="20"/>
              </w:rPr>
              <w:t>202</w:t>
            </w:r>
            <w:r w:rsidRPr="00AF0C84">
              <w:rPr>
                <w:rFonts w:ascii="Times New Roman" w:hAnsi="Times New Roman" w:cs="Times New Roman"/>
                <w:sz w:val="20"/>
                <w:szCs w:val="20"/>
              </w:rPr>
              <w:t>2</w:t>
            </w:r>
          </w:p>
          <w:p w14:paraId="263A5838" w14:textId="5CF01CB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non-Indigenous students in Victoria who received a VCE and VCAL 2020</w:t>
            </w:r>
            <w:r w:rsidR="004457F4">
              <w:rPr>
                <w:rFonts w:ascii="Times New Roman" w:hAnsi="Times New Roman" w:cs="Times New Roman"/>
                <w:sz w:val="20"/>
                <w:szCs w:val="20"/>
              </w:rPr>
              <w:t>–</w:t>
            </w:r>
            <w:r w:rsidRPr="00EA5AC1">
              <w:rPr>
                <w:rFonts w:ascii="Times New Roman" w:hAnsi="Times New Roman" w:cs="Times New Roman"/>
                <w:sz w:val="20"/>
                <w:szCs w:val="20"/>
              </w:rPr>
              <w:t xml:space="preserve">2022 </w:t>
            </w:r>
          </w:p>
          <w:p w14:paraId="275713A5" w14:textId="4E18E55C"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Indigenous students who received a VCE and VCAL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p w14:paraId="5299565D" w14:textId="74976B37"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Indigenous students awarded a Cert 1</w:t>
            </w:r>
            <w:r w:rsidR="00AF0C84">
              <w:rPr>
                <w:rFonts w:ascii="Times New Roman" w:hAnsi="Times New Roman" w:cs="Times New Roman"/>
                <w:sz w:val="20"/>
                <w:szCs w:val="20"/>
              </w:rPr>
              <w:t>–</w:t>
            </w:r>
            <w:r w:rsidRPr="00EA5AC1">
              <w:rPr>
                <w:rFonts w:ascii="Times New Roman" w:hAnsi="Times New Roman" w:cs="Times New Roman"/>
                <w:sz w:val="20"/>
                <w:szCs w:val="20"/>
              </w:rPr>
              <w:t xml:space="preserve">IV, </w:t>
            </w:r>
            <w:r w:rsidR="00AF0C84">
              <w:rPr>
                <w:rFonts w:ascii="Times New Roman" w:hAnsi="Times New Roman" w:cs="Times New Roman"/>
                <w:sz w:val="20"/>
                <w:szCs w:val="20"/>
              </w:rPr>
              <w:t>d</w:t>
            </w:r>
            <w:r w:rsidRPr="00EA5AC1">
              <w:rPr>
                <w:rFonts w:ascii="Times New Roman" w:hAnsi="Times New Roman" w:cs="Times New Roman"/>
                <w:sz w:val="20"/>
                <w:szCs w:val="20"/>
              </w:rPr>
              <w:t>iploma</w:t>
            </w:r>
            <w:r w:rsidR="00AF0C84">
              <w:rPr>
                <w:rFonts w:ascii="Times New Roman" w:hAnsi="Times New Roman" w:cs="Times New Roman"/>
                <w:sz w:val="20"/>
                <w:szCs w:val="20"/>
              </w:rPr>
              <w:t>,</w:t>
            </w:r>
            <w:r w:rsidRPr="00EA5AC1">
              <w:rPr>
                <w:rFonts w:ascii="Times New Roman" w:hAnsi="Times New Roman" w:cs="Times New Roman"/>
                <w:sz w:val="20"/>
                <w:szCs w:val="20"/>
              </w:rPr>
              <w:t xml:space="preserve"> and advanced diploma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p w14:paraId="5F931B2E" w14:textId="36463EE9"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Number of non-Indigenous students awarded a Cert 1</w:t>
            </w:r>
            <w:r w:rsidR="00AF0C84">
              <w:rPr>
                <w:rFonts w:ascii="Times New Roman" w:hAnsi="Times New Roman" w:cs="Times New Roman"/>
                <w:sz w:val="20"/>
                <w:szCs w:val="20"/>
              </w:rPr>
              <w:t>–</w:t>
            </w:r>
            <w:r w:rsidRPr="00EA5AC1">
              <w:rPr>
                <w:rFonts w:ascii="Times New Roman" w:hAnsi="Times New Roman" w:cs="Times New Roman"/>
                <w:sz w:val="20"/>
                <w:szCs w:val="20"/>
              </w:rPr>
              <w:t xml:space="preserve">IV, </w:t>
            </w:r>
            <w:r w:rsidR="00AF0C84">
              <w:rPr>
                <w:rFonts w:ascii="Times New Roman" w:hAnsi="Times New Roman" w:cs="Times New Roman"/>
                <w:sz w:val="20"/>
                <w:szCs w:val="20"/>
              </w:rPr>
              <w:t>d</w:t>
            </w:r>
            <w:r w:rsidRPr="00EA5AC1">
              <w:rPr>
                <w:rFonts w:ascii="Times New Roman" w:hAnsi="Times New Roman" w:cs="Times New Roman"/>
                <w:sz w:val="20"/>
                <w:szCs w:val="20"/>
              </w:rPr>
              <w:t>iploma</w:t>
            </w:r>
            <w:r w:rsidR="00AF0C84">
              <w:rPr>
                <w:rFonts w:ascii="Times New Roman" w:hAnsi="Times New Roman" w:cs="Times New Roman"/>
                <w:sz w:val="20"/>
                <w:szCs w:val="20"/>
              </w:rPr>
              <w:t>,</w:t>
            </w:r>
            <w:r w:rsidRPr="00EA5AC1">
              <w:rPr>
                <w:rFonts w:ascii="Times New Roman" w:hAnsi="Times New Roman" w:cs="Times New Roman"/>
                <w:sz w:val="20"/>
                <w:szCs w:val="20"/>
              </w:rPr>
              <w:t xml:space="preserve"> and advanced diploma 2020</w:t>
            </w:r>
            <w:r w:rsidR="004457F4">
              <w:rPr>
                <w:rFonts w:ascii="Times New Roman" w:hAnsi="Times New Roman" w:cs="Times New Roman"/>
                <w:sz w:val="20"/>
                <w:szCs w:val="20"/>
              </w:rPr>
              <w:t>–</w:t>
            </w:r>
            <w:r w:rsidRPr="00EA5AC1">
              <w:rPr>
                <w:rFonts w:ascii="Times New Roman" w:hAnsi="Times New Roman" w:cs="Times New Roman"/>
                <w:sz w:val="20"/>
                <w:szCs w:val="20"/>
              </w:rPr>
              <w:t>2022</w:t>
            </w:r>
          </w:p>
        </w:tc>
        <w:tc>
          <w:tcPr>
            <w:tcW w:w="1072" w:type="pct"/>
            <w:tcBorders>
              <w:top w:val="single" w:sz="4" w:space="0" w:color="auto"/>
              <w:bottom w:val="single" w:sz="4" w:space="0" w:color="auto"/>
            </w:tcBorders>
          </w:tcPr>
          <w:p w14:paraId="2986950B" w14:textId="215EE597" w:rsidR="004B55DF" w:rsidRPr="00EA5AC1" w:rsidRDefault="004B55DF">
            <w:pPr>
              <w:rPr>
                <w:szCs w:val="20"/>
              </w:rPr>
            </w:pPr>
            <w:r w:rsidRPr="00EA5AC1">
              <w:rPr>
                <w:szCs w:val="20"/>
              </w:rPr>
              <w:t>Partial custom data received. Unable to provide totals of Indigenous or non</w:t>
            </w:r>
            <w:r w:rsidR="00AF0C84">
              <w:rPr>
                <w:szCs w:val="20"/>
              </w:rPr>
              <w:t>-</w:t>
            </w:r>
            <w:r w:rsidRPr="00EA5AC1">
              <w:rPr>
                <w:szCs w:val="20"/>
              </w:rPr>
              <w:t>Indigenous Year 12 students or disaggregate VCE, VCAL</w:t>
            </w:r>
            <w:r w:rsidR="00AF0C84">
              <w:rPr>
                <w:szCs w:val="20"/>
              </w:rPr>
              <w:t>,</w:t>
            </w:r>
            <w:r w:rsidRPr="00EA5AC1">
              <w:rPr>
                <w:szCs w:val="20"/>
              </w:rPr>
              <w:t xml:space="preserve"> etc</w:t>
            </w:r>
            <w:r w:rsidR="00AF0C84">
              <w:rPr>
                <w:szCs w:val="20"/>
              </w:rPr>
              <w:t>.</w:t>
            </w:r>
            <w:r w:rsidRPr="00EA5AC1">
              <w:rPr>
                <w:szCs w:val="20"/>
              </w:rPr>
              <w:t xml:space="preserve"> </w:t>
            </w:r>
          </w:p>
        </w:tc>
      </w:tr>
      <w:tr w:rsidR="004B55DF" w:rsidRPr="00423E24" w14:paraId="754D9905" w14:textId="77777777">
        <w:tc>
          <w:tcPr>
            <w:tcW w:w="469" w:type="pct"/>
            <w:vMerge/>
            <w:tcBorders>
              <w:top w:val="single" w:sz="4" w:space="0" w:color="auto"/>
            </w:tcBorders>
          </w:tcPr>
          <w:p w14:paraId="37AF26A6" w14:textId="77777777" w:rsidR="004B55DF" w:rsidRPr="00EA5AC1" w:rsidRDefault="004B55DF">
            <w:pPr>
              <w:rPr>
                <w:szCs w:val="20"/>
              </w:rPr>
            </w:pPr>
          </w:p>
        </w:tc>
        <w:tc>
          <w:tcPr>
            <w:tcW w:w="1044" w:type="pct"/>
            <w:tcBorders>
              <w:top w:val="single" w:sz="4" w:space="0" w:color="auto"/>
              <w:bottom w:val="single" w:sz="4" w:space="0" w:color="auto"/>
            </w:tcBorders>
          </w:tcPr>
          <w:p w14:paraId="556A7BA1" w14:textId="2D70E553" w:rsidR="004B55DF" w:rsidRPr="00EA5AC1" w:rsidRDefault="004B55DF">
            <w:pPr>
              <w:rPr>
                <w:szCs w:val="20"/>
              </w:rPr>
            </w:pPr>
            <w:r w:rsidRPr="00EA5AC1">
              <w:rPr>
                <w:szCs w:val="20"/>
              </w:rPr>
              <w:t>V</w:t>
            </w:r>
            <w:r w:rsidR="00BE0161">
              <w:rPr>
                <w:szCs w:val="20"/>
              </w:rPr>
              <w:t>ic</w:t>
            </w:r>
            <w:r w:rsidRPr="00EA5AC1">
              <w:rPr>
                <w:szCs w:val="20"/>
              </w:rPr>
              <w:t xml:space="preserve"> Department of Education </w:t>
            </w:r>
          </w:p>
        </w:tc>
        <w:tc>
          <w:tcPr>
            <w:tcW w:w="2415" w:type="pct"/>
            <w:tcBorders>
              <w:top w:val="single" w:sz="4" w:space="0" w:color="auto"/>
              <w:bottom w:val="single" w:sz="4" w:space="0" w:color="auto"/>
            </w:tcBorders>
          </w:tcPr>
          <w:p w14:paraId="7115BAB5" w14:textId="37373CBB"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 xml:space="preserve">All </w:t>
            </w:r>
            <w:r w:rsidR="00BE0161">
              <w:rPr>
                <w:rFonts w:ascii="Times New Roman" w:hAnsi="Times New Roman" w:cs="Times New Roman"/>
                <w:sz w:val="20"/>
                <w:szCs w:val="20"/>
              </w:rPr>
              <w:t>s</w:t>
            </w:r>
            <w:r w:rsidRPr="00EA5AC1">
              <w:rPr>
                <w:rFonts w:ascii="Times New Roman" w:hAnsi="Times New Roman" w:cs="Times New Roman"/>
                <w:sz w:val="20"/>
                <w:szCs w:val="20"/>
              </w:rPr>
              <w:t xml:space="preserve">chools FTE </w:t>
            </w:r>
            <w:r w:rsidR="00BE0161">
              <w:rPr>
                <w:rFonts w:ascii="Times New Roman" w:hAnsi="Times New Roman" w:cs="Times New Roman"/>
                <w:sz w:val="20"/>
                <w:szCs w:val="20"/>
              </w:rPr>
              <w:t>e</w:t>
            </w:r>
            <w:r w:rsidRPr="00EA5AC1">
              <w:rPr>
                <w:rFonts w:ascii="Times New Roman" w:hAnsi="Times New Roman" w:cs="Times New Roman"/>
                <w:sz w:val="20"/>
                <w:szCs w:val="20"/>
              </w:rPr>
              <w:t xml:space="preserve">nrolments </w:t>
            </w:r>
            <w:r w:rsidR="00BE0161">
              <w:rPr>
                <w:rFonts w:ascii="Times New Roman" w:hAnsi="Times New Roman" w:cs="Times New Roman"/>
                <w:sz w:val="20"/>
                <w:szCs w:val="20"/>
              </w:rPr>
              <w:t>—</w:t>
            </w:r>
            <w:r w:rsidR="00BE0161" w:rsidRPr="00EA5AC1">
              <w:rPr>
                <w:rFonts w:ascii="Times New Roman" w:hAnsi="Times New Roman" w:cs="Times New Roman"/>
                <w:sz w:val="20"/>
                <w:szCs w:val="20"/>
              </w:rPr>
              <w:t xml:space="preserve"> </w:t>
            </w:r>
            <w:r w:rsidRPr="00EA5AC1">
              <w:rPr>
                <w:rFonts w:ascii="Times New Roman" w:hAnsi="Times New Roman" w:cs="Times New Roman"/>
                <w:sz w:val="20"/>
                <w:szCs w:val="20"/>
              </w:rPr>
              <w:t>Feb 2022, Victoria</w:t>
            </w:r>
          </w:p>
          <w:p w14:paraId="69A8AF2F" w14:textId="77777777" w:rsidR="004B55DF" w:rsidRPr="00EA5AC1" w:rsidRDefault="004B55DF">
            <w:pPr>
              <w:pStyle w:val="ListParagraph"/>
              <w:ind w:left="277"/>
              <w:rPr>
                <w:rFonts w:ascii="Times New Roman" w:hAnsi="Times New Roman" w:cs="Times New Roman"/>
                <w:sz w:val="20"/>
                <w:szCs w:val="20"/>
              </w:rPr>
            </w:pPr>
          </w:p>
        </w:tc>
        <w:tc>
          <w:tcPr>
            <w:tcW w:w="1072" w:type="pct"/>
            <w:tcBorders>
              <w:top w:val="single" w:sz="4" w:space="0" w:color="auto"/>
              <w:bottom w:val="single" w:sz="4" w:space="0" w:color="auto"/>
            </w:tcBorders>
          </w:tcPr>
          <w:p w14:paraId="07557A9D" w14:textId="77777777" w:rsidR="004B55DF" w:rsidRPr="00EA5AC1" w:rsidRDefault="004B55DF">
            <w:pPr>
              <w:rPr>
                <w:szCs w:val="20"/>
              </w:rPr>
            </w:pPr>
            <w:r w:rsidRPr="00EA5AC1">
              <w:rPr>
                <w:szCs w:val="20"/>
              </w:rPr>
              <w:t>Publicly available</w:t>
            </w:r>
          </w:p>
        </w:tc>
      </w:tr>
      <w:tr w:rsidR="004B55DF" w:rsidRPr="00423E24" w14:paraId="6B6333DC" w14:textId="77777777">
        <w:tc>
          <w:tcPr>
            <w:tcW w:w="469" w:type="pct"/>
            <w:vMerge/>
          </w:tcPr>
          <w:p w14:paraId="3CF459AA" w14:textId="77777777" w:rsidR="004B55DF" w:rsidRPr="00EA5AC1" w:rsidRDefault="004B55DF">
            <w:pPr>
              <w:rPr>
                <w:szCs w:val="20"/>
              </w:rPr>
            </w:pPr>
          </w:p>
        </w:tc>
        <w:tc>
          <w:tcPr>
            <w:tcW w:w="1044" w:type="pct"/>
            <w:tcBorders>
              <w:top w:val="single" w:sz="4" w:space="0" w:color="auto"/>
              <w:bottom w:val="single" w:sz="4" w:space="0" w:color="auto"/>
            </w:tcBorders>
          </w:tcPr>
          <w:p w14:paraId="0520AA8D" w14:textId="77777777" w:rsidR="004B55DF" w:rsidRPr="00EA5AC1" w:rsidRDefault="004B55DF">
            <w:pPr>
              <w:rPr>
                <w:szCs w:val="20"/>
              </w:rPr>
            </w:pPr>
            <w:r w:rsidRPr="00EA5AC1">
              <w:rPr>
                <w:szCs w:val="20"/>
              </w:rPr>
              <w:t xml:space="preserve">Victorian Government Aboriginal Affairs Report (VGAAR) </w:t>
            </w:r>
          </w:p>
        </w:tc>
        <w:tc>
          <w:tcPr>
            <w:tcW w:w="2415" w:type="pct"/>
            <w:tcBorders>
              <w:top w:val="single" w:sz="4" w:space="0" w:color="auto"/>
              <w:bottom w:val="single" w:sz="4" w:space="0" w:color="auto"/>
            </w:tcBorders>
          </w:tcPr>
          <w:p w14:paraId="513B83E4" w14:textId="0F3E39DC"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Publicly available data on number of Indigenous students that received a VCAL, VCE</w:t>
            </w:r>
            <w:r w:rsidR="00BE0161">
              <w:rPr>
                <w:rFonts w:ascii="Times New Roman" w:hAnsi="Times New Roman" w:cs="Times New Roman"/>
                <w:sz w:val="20"/>
                <w:szCs w:val="20"/>
              </w:rPr>
              <w:t>,</w:t>
            </w:r>
            <w:r w:rsidRPr="00EA5AC1">
              <w:rPr>
                <w:rFonts w:ascii="Times New Roman" w:hAnsi="Times New Roman" w:cs="Times New Roman"/>
                <w:sz w:val="20"/>
                <w:szCs w:val="20"/>
              </w:rPr>
              <w:t xml:space="preserve"> or VET up </w:t>
            </w:r>
            <w:r w:rsidR="0077342A">
              <w:rPr>
                <w:rFonts w:ascii="Times New Roman" w:hAnsi="Times New Roman" w:cs="Times New Roman"/>
                <w:sz w:val="20"/>
                <w:szCs w:val="20"/>
              </w:rPr>
              <w:t>to</w:t>
            </w:r>
            <w:r w:rsidR="00BA3ED9">
              <w:rPr>
                <w:rFonts w:ascii="Times New Roman" w:hAnsi="Times New Roman" w:cs="Times New Roman"/>
                <w:sz w:val="20"/>
                <w:szCs w:val="20"/>
              </w:rPr>
              <w:t xml:space="preserve"> </w:t>
            </w:r>
            <w:r w:rsidRPr="00EA5AC1">
              <w:rPr>
                <w:rFonts w:ascii="Times New Roman" w:hAnsi="Times New Roman" w:cs="Times New Roman"/>
                <w:sz w:val="20"/>
                <w:szCs w:val="20"/>
              </w:rPr>
              <w:t>2021</w:t>
            </w:r>
          </w:p>
        </w:tc>
        <w:tc>
          <w:tcPr>
            <w:tcW w:w="1072" w:type="pct"/>
            <w:tcBorders>
              <w:top w:val="single" w:sz="4" w:space="0" w:color="auto"/>
              <w:bottom w:val="single" w:sz="4" w:space="0" w:color="auto"/>
            </w:tcBorders>
          </w:tcPr>
          <w:p w14:paraId="733FA328" w14:textId="77777777" w:rsidR="004B55DF" w:rsidRPr="00EA5AC1" w:rsidRDefault="004B55DF">
            <w:pPr>
              <w:rPr>
                <w:szCs w:val="20"/>
              </w:rPr>
            </w:pPr>
            <w:r w:rsidRPr="00EA5AC1">
              <w:rPr>
                <w:szCs w:val="20"/>
              </w:rPr>
              <w:t xml:space="preserve">Publicly available </w:t>
            </w:r>
          </w:p>
        </w:tc>
      </w:tr>
      <w:tr w:rsidR="004B55DF" w:rsidRPr="00423E24" w14:paraId="4F43D8B7" w14:textId="77777777">
        <w:tc>
          <w:tcPr>
            <w:tcW w:w="469" w:type="pct"/>
            <w:vMerge/>
          </w:tcPr>
          <w:p w14:paraId="57C9625A" w14:textId="77777777" w:rsidR="004B55DF" w:rsidRPr="00EA5AC1" w:rsidRDefault="004B55DF">
            <w:pPr>
              <w:rPr>
                <w:szCs w:val="20"/>
              </w:rPr>
            </w:pPr>
          </w:p>
        </w:tc>
        <w:tc>
          <w:tcPr>
            <w:tcW w:w="1044" w:type="pct"/>
            <w:tcBorders>
              <w:top w:val="single" w:sz="4" w:space="0" w:color="auto"/>
              <w:bottom w:val="single" w:sz="4" w:space="0" w:color="auto"/>
            </w:tcBorders>
          </w:tcPr>
          <w:p w14:paraId="63CEF208" w14:textId="77777777" w:rsidR="004B55DF" w:rsidRPr="00EA5AC1" w:rsidRDefault="004B55DF">
            <w:pPr>
              <w:rPr>
                <w:szCs w:val="20"/>
              </w:rPr>
            </w:pPr>
            <w:r w:rsidRPr="00EA5AC1">
              <w:rPr>
                <w:szCs w:val="20"/>
              </w:rPr>
              <w:t>Victorian Tertiary Admissions Centre (VTAC)</w:t>
            </w:r>
          </w:p>
        </w:tc>
        <w:tc>
          <w:tcPr>
            <w:tcW w:w="2415" w:type="pct"/>
            <w:tcBorders>
              <w:top w:val="single" w:sz="4" w:space="0" w:color="auto"/>
              <w:bottom w:val="single" w:sz="4" w:space="0" w:color="auto"/>
            </w:tcBorders>
          </w:tcPr>
          <w:p w14:paraId="152806DC" w14:textId="142937FB"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The number and percentage of Indigenous students who received an ATAR in 2022</w:t>
            </w:r>
          </w:p>
          <w:p w14:paraId="3B9BD341" w14:textId="3B1A514D"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lastRenderedPageBreak/>
              <w:t>The number and percentage of non-Indigenous students who received an ATAR in 2022</w:t>
            </w:r>
          </w:p>
          <w:p w14:paraId="64043A54" w14:textId="62ADAAC5"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Median ATAR for Indigenous students in 2022</w:t>
            </w:r>
          </w:p>
          <w:p w14:paraId="113EA0EE" w14:textId="4588C43C"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Median ATAR for non-Indigenous students in 2022</w:t>
            </w:r>
          </w:p>
        </w:tc>
        <w:tc>
          <w:tcPr>
            <w:tcW w:w="1072" w:type="pct"/>
            <w:tcBorders>
              <w:top w:val="single" w:sz="4" w:space="0" w:color="auto"/>
              <w:bottom w:val="single" w:sz="4" w:space="0" w:color="auto"/>
            </w:tcBorders>
          </w:tcPr>
          <w:p w14:paraId="2AB079F8" w14:textId="2B79374C" w:rsidR="004B55DF" w:rsidRPr="00EA5AC1" w:rsidRDefault="004B55DF">
            <w:pPr>
              <w:rPr>
                <w:szCs w:val="20"/>
              </w:rPr>
            </w:pPr>
            <w:r w:rsidRPr="00EA5AC1">
              <w:rPr>
                <w:szCs w:val="20"/>
              </w:rPr>
              <w:lastRenderedPageBreak/>
              <w:t>Custom request received</w:t>
            </w:r>
          </w:p>
        </w:tc>
      </w:tr>
      <w:tr w:rsidR="004B55DF" w:rsidRPr="00423E24" w14:paraId="5E0FD642" w14:textId="77777777">
        <w:tc>
          <w:tcPr>
            <w:tcW w:w="469" w:type="pct"/>
            <w:vMerge/>
          </w:tcPr>
          <w:p w14:paraId="78DDB21A" w14:textId="77777777" w:rsidR="004B55DF" w:rsidRPr="00EA5AC1" w:rsidRDefault="004B55DF">
            <w:pPr>
              <w:rPr>
                <w:szCs w:val="20"/>
              </w:rPr>
            </w:pPr>
          </w:p>
        </w:tc>
        <w:tc>
          <w:tcPr>
            <w:tcW w:w="1044" w:type="pct"/>
            <w:tcBorders>
              <w:top w:val="single" w:sz="4" w:space="0" w:color="auto"/>
              <w:bottom w:val="single" w:sz="4" w:space="0" w:color="auto"/>
            </w:tcBorders>
          </w:tcPr>
          <w:p w14:paraId="6C06968A" w14:textId="0E642437" w:rsidR="004B55DF" w:rsidRPr="00EA5AC1" w:rsidRDefault="004B55DF">
            <w:pPr>
              <w:rPr>
                <w:szCs w:val="20"/>
              </w:rPr>
            </w:pPr>
            <w:r w:rsidRPr="00EA5AC1">
              <w:rPr>
                <w:szCs w:val="20"/>
              </w:rPr>
              <w:t>On</w:t>
            </w:r>
            <w:r w:rsidR="00A4297A">
              <w:rPr>
                <w:szCs w:val="20"/>
              </w:rPr>
              <w:t xml:space="preserve"> </w:t>
            </w:r>
            <w:r w:rsidRPr="00EA5AC1">
              <w:rPr>
                <w:szCs w:val="20"/>
              </w:rPr>
              <w:t xml:space="preserve">Track (survey) </w:t>
            </w:r>
          </w:p>
        </w:tc>
        <w:tc>
          <w:tcPr>
            <w:tcW w:w="2415" w:type="pct"/>
            <w:tcBorders>
              <w:top w:val="single" w:sz="4" w:space="0" w:color="auto"/>
              <w:bottom w:val="single" w:sz="4" w:space="0" w:color="auto"/>
            </w:tcBorders>
          </w:tcPr>
          <w:p w14:paraId="53CA1927" w14:textId="4572B34A" w:rsidR="004B55DF" w:rsidRPr="00EA5AC1" w:rsidRDefault="004B55DF" w:rsidP="004B55DF">
            <w:pPr>
              <w:pStyle w:val="ListParagraph"/>
              <w:numPr>
                <w:ilvl w:val="0"/>
                <w:numId w:val="36"/>
              </w:numPr>
              <w:spacing w:after="0" w:line="240" w:lineRule="auto"/>
              <w:ind w:left="277" w:hanging="284"/>
              <w:rPr>
                <w:rFonts w:ascii="Times New Roman" w:hAnsi="Times New Roman" w:cs="Times New Roman"/>
                <w:sz w:val="20"/>
                <w:szCs w:val="20"/>
              </w:rPr>
            </w:pPr>
            <w:r w:rsidRPr="00EA5AC1">
              <w:rPr>
                <w:rFonts w:ascii="Times New Roman" w:hAnsi="Times New Roman" w:cs="Times New Roman"/>
                <w:sz w:val="20"/>
                <w:szCs w:val="20"/>
              </w:rPr>
              <w:t>Requested 2022 data on Year 12 completers</w:t>
            </w:r>
            <w:r w:rsidR="00BE0161">
              <w:rPr>
                <w:rFonts w:ascii="Times New Roman" w:hAnsi="Times New Roman" w:cs="Times New Roman"/>
                <w:sz w:val="20"/>
                <w:szCs w:val="20"/>
              </w:rPr>
              <w:t>’</w:t>
            </w:r>
            <w:r w:rsidRPr="00EA5AC1">
              <w:rPr>
                <w:rFonts w:ascii="Times New Roman" w:hAnsi="Times New Roman" w:cs="Times New Roman"/>
                <w:sz w:val="20"/>
                <w:szCs w:val="20"/>
              </w:rPr>
              <w:t xml:space="preserve"> postsecondary destinations </w:t>
            </w:r>
            <w:r w:rsidR="00BE0161">
              <w:rPr>
                <w:rFonts w:ascii="Times New Roman" w:hAnsi="Times New Roman" w:cs="Times New Roman"/>
                <w:sz w:val="20"/>
                <w:szCs w:val="20"/>
              </w:rPr>
              <w:t>—</w:t>
            </w:r>
            <w:r w:rsidRPr="00EA5AC1">
              <w:rPr>
                <w:rFonts w:ascii="Times New Roman" w:hAnsi="Times New Roman" w:cs="Times New Roman"/>
                <w:sz w:val="20"/>
                <w:szCs w:val="20"/>
              </w:rPr>
              <w:t xml:space="preserve"> Indigenous and non-Indigenous</w:t>
            </w:r>
          </w:p>
        </w:tc>
        <w:tc>
          <w:tcPr>
            <w:tcW w:w="1072" w:type="pct"/>
            <w:tcBorders>
              <w:top w:val="single" w:sz="4" w:space="0" w:color="auto"/>
              <w:bottom w:val="single" w:sz="4" w:space="0" w:color="auto"/>
            </w:tcBorders>
          </w:tcPr>
          <w:p w14:paraId="0B33D21A" w14:textId="77777777" w:rsidR="004B55DF" w:rsidRPr="00EA5AC1" w:rsidRDefault="004B55DF">
            <w:pPr>
              <w:rPr>
                <w:szCs w:val="20"/>
              </w:rPr>
            </w:pPr>
            <w:r w:rsidRPr="00EA5AC1">
              <w:rPr>
                <w:szCs w:val="20"/>
              </w:rPr>
              <w:t xml:space="preserve">Custom request received </w:t>
            </w:r>
          </w:p>
        </w:tc>
      </w:tr>
    </w:tbl>
    <w:p w14:paraId="209B7F44" w14:textId="77777777" w:rsidR="004B55DF" w:rsidRPr="00423E24" w:rsidRDefault="004B55DF" w:rsidP="004B55DF">
      <w:pPr>
        <w:rPr>
          <w:sz w:val="24"/>
          <w:szCs w:val="24"/>
        </w:rPr>
      </w:pPr>
    </w:p>
    <w:p w14:paraId="2D5D1EEA" w14:textId="77777777" w:rsidR="00771F30" w:rsidRPr="006A0AF4" w:rsidRDefault="00771F30" w:rsidP="00063985"/>
    <w:sectPr w:rsidR="00771F30" w:rsidRPr="006A0AF4" w:rsidSect="00E70C0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281" w:right="1140" w:bottom="1281" w:left="1140" w:header="567"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DF85" w14:textId="77777777" w:rsidR="00136614" w:rsidRDefault="00136614" w:rsidP="00EE09D3">
      <w:r>
        <w:separator/>
      </w:r>
    </w:p>
    <w:p w14:paraId="3337B9B3" w14:textId="77777777" w:rsidR="00136614" w:rsidRDefault="00136614"/>
    <w:p w14:paraId="7BDBCD55" w14:textId="77777777" w:rsidR="00136614" w:rsidRDefault="00136614"/>
  </w:endnote>
  <w:endnote w:type="continuationSeparator" w:id="0">
    <w:p w14:paraId="3E7E7423" w14:textId="77777777" w:rsidR="00136614" w:rsidRDefault="00136614" w:rsidP="00EE09D3">
      <w:r>
        <w:continuationSeparator/>
      </w:r>
    </w:p>
    <w:p w14:paraId="143A3D62" w14:textId="77777777" w:rsidR="00136614" w:rsidRDefault="00136614"/>
    <w:p w14:paraId="195183D6" w14:textId="77777777" w:rsidR="00136614" w:rsidRDefault="0013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02F"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5BF35149" w14:textId="54545C81" w:rsidR="00D93174" w:rsidRPr="004167FD" w:rsidRDefault="00D93174" w:rsidP="004167FD">
    <w:pPr>
      <w:pStyle w:val="JANZSSAFooter"/>
    </w:pPr>
    <w:r w:rsidRPr="004167FD">
      <w:t>Journal of the Australian and New Zealand Student Services Association</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1F8"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4AC911B0" w14:textId="2D17EB73" w:rsidR="00D93174" w:rsidRDefault="00D93174" w:rsidP="004167FD">
    <w:pPr>
      <w:pStyle w:val="JANZSSAFooter"/>
      <w:rPr>
        <w:color w:val="FF0000"/>
      </w:rPr>
    </w:pPr>
    <w:r w:rsidRPr="00CD07E8">
      <w:t>Journal of the Australian and New Zealand Student Services Association</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7777777" w:rsidR="004167FD" w:rsidRDefault="004167FD" w:rsidP="004167FD">
    <w:pPr>
      <w:pStyle w:val="JANZSSAFooter"/>
    </w:pPr>
  </w:p>
  <w:p w14:paraId="7A4A8EB2" w14:textId="20B5DA0B" w:rsidR="00D93174" w:rsidRPr="004167FD" w:rsidRDefault="00D93174" w:rsidP="004167FD">
    <w:pPr>
      <w:pStyle w:val="JANZSSAFooter"/>
    </w:pPr>
    <w:r w:rsidRPr="004167FD">
      <w:t>Journal of the Au</w:t>
    </w:r>
    <w:r w:rsidRPr="004167FD">
      <w:rPr>
        <w:rStyle w:val="JANZSSAFooterChar"/>
        <w:i/>
        <w:iCs/>
      </w:rPr>
      <w:t>stralian and New Zealand Student S</w:t>
    </w:r>
    <w:r w:rsidRPr="004167FD">
      <w:t>ervices Association</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87C2" w14:textId="77777777" w:rsidR="00136614" w:rsidRDefault="00136614" w:rsidP="00EE09D3">
      <w:r>
        <w:separator/>
      </w:r>
    </w:p>
    <w:p w14:paraId="0836F0F3" w14:textId="77777777" w:rsidR="00136614" w:rsidRDefault="00136614"/>
    <w:p w14:paraId="3EC65B17" w14:textId="77777777" w:rsidR="00136614" w:rsidRDefault="00136614"/>
  </w:footnote>
  <w:footnote w:type="continuationSeparator" w:id="0">
    <w:p w14:paraId="7BE3B6F2" w14:textId="77777777" w:rsidR="00136614" w:rsidRDefault="00136614" w:rsidP="00EE09D3">
      <w:r>
        <w:continuationSeparator/>
      </w:r>
    </w:p>
    <w:p w14:paraId="69EE4C76" w14:textId="77777777" w:rsidR="00136614" w:rsidRDefault="00136614"/>
    <w:p w14:paraId="75F83018" w14:textId="77777777" w:rsidR="00136614" w:rsidRDefault="00136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0A8" w14:textId="7C6AD3F1" w:rsidR="00DB6ECF" w:rsidRPr="00D93174" w:rsidRDefault="004B55DF" w:rsidP="00885DF3">
    <w:pPr>
      <w:pStyle w:val="JANZSSARuningHead"/>
    </w:pPr>
    <w:r w:rsidRPr="004B55DF">
      <w:t>The hidden barrier</w:t>
    </w:r>
  </w:p>
  <w:p w14:paraId="2E9BAA5C" w14:textId="77777777" w:rsidR="008C61AD" w:rsidRDefault="008C61AD"/>
  <w:p w14:paraId="45C1C7BD" w14:textId="77777777" w:rsidR="008C61AD" w:rsidRDefault="008C61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E9CC" w14:textId="0E364EFD" w:rsidR="00DB6ECF" w:rsidRPr="006A0AF4" w:rsidRDefault="00D93174" w:rsidP="00C95DA5">
    <w:pPr>
      <w:pStyle w:val="JANZSSAHeader"/>
    </w:pPr>
    <w:r w:rsidRPr="006A0AF4">
      <w:t xml:space="preserve">JANZSSA doi: </w:t>
    </w:r>
    <w:r w:rsidR="00885DF3" w:rsidRPr="00885DF3">
      <w:t>10.30688/janzssa.2026-</w:t>
    </w:r>
    <w:r w:rsidR="003A7EA9">
      <w:t>3</w:t>
    </w:r>
    <w:r w:rsidR="00885DF3" w:rsidRPr="00885DF3">
      <w:t>-0</w:t>
    </w:r>
    <w:r w:rsidR="00AA3E27">
      <w:t>2</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574C61D8" w:rsidR="00C726E2" w:rsidRPr="00C726E2" w:rsidRDefault="003E38AA" w:rsidP="00C726E2">
    <w:pPr>
      <w:pStyle w:val="JANZSSAHeader"/>
      <w:rPr>
        <w:b/>
        <w:bCs/>
      </w:rPr>
    </w:pPr>
    <w:r>
      <w:rPr>
        <w:b/>
        <w:bCs/>
      </w:rPr>
      <w:t xml:space="preserve">Peer-Reviewed </w:t>
    </w:r>
    <w:r w:rsidR="00C726E2" w:rsidRPr="00C726E2">
      <w:rPr>
        <w:b/>
        <w:bCs/>
      </w:rPr>
      <w:t xml:space="preserve">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4E6C2C"/>
    <w:multiLevelType w:val="multilevel"/>
    <w:tmpl w:val="51B26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8" w15:restartNumberingAfterBreak="0">
    <w:nsid w:val="22182EB0"/>
    <w:multiLevelType w:val="hybridMultilevel"/>
    <w:tmpl w:val="8FDC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D805E4"/>
    <w:multiLevelType w:val="hybridMultilevel"/>
    <w:tmpl w:val="725ED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03C28D8"/>
    <w:multiLevelType w:val="hybridMultilevel"/>
    <w:tmpl w:val="499EC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7" w15:restartNumberingAfterBreak="0">
    <w:nsid w:val="3570501F"/>
    <w:multiLevelType w:val="hybridMultilevel"/>
    <w:tmpl w:val="09240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277FAD"/>
    <w:multiLevelType w:val="multilevel"/>
    <w:tmpl w:val="CFA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2"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24"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5" w15:restartNumberingAfterBreak="0">
    <w:nsid w:val="54D07300"/>
    <w:multiLevelType w:val="hybridMultilevel"/>
    <w:tmpl w:val="0FEE6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7A0840"/>
    <w:multiLevelType w:val="multilevel"/>
    <w:tmpl w:val="824A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31"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5440678"/>
    <w:multiLevelType w:val="hybridMultilevel"/>
    <w:tmpl w:val="8D20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36" w15:restartNumberingAfterBreak="0">
    <w:nsid w:val="7C924FCB"/>
    <w:multiLevelType w:val="hybridMultilevel"/>
    <w:tmpl w:val="9AD42486"/>
    <w:lvl w:ilvl="0" w:tplc="9B00EE8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36"/>
  </w:num>
  <w:num w:numId="2" w16cid:durableId="1679963613">
    <w:abstractNumId w:val="12"/>
  </w:num>
  <w:num w:numId="3" w16cid:durableId="1800565170">
    <w:abstractNumId w:val="32"/>
  </w:num>
  <w:num w:numId="4" w16cid:durableId="974063284">
    <w:abstractNumId w:val="21"/>
  </w:num>
  <w:num w:numId="5" w16cid:durableId="1213931697">
    <w:abstractNumId w:val="30"/>
  </w:num>
  <w:num w:numId="6" w16cid:durableId="1845784250">
    <w:abstractNumId w:val="35"/>
  </w:num>
  <w:num w:numId="7" w16cid:durableId="1426803105">
    <w:abstractNumId w:val="24"/>
  </w:num>
  <w:num w:numId="8" w16cid:durableId="958342066">
    <w:abstractNumId w:val="13"/>
  </w:num>
  <w:num w:numId="9" w16cid:durableId="1550527431">
    <w:abstractNumId w:val="20"/>
  </w:num>
  <w:num w:numId="10" w16cid:durableId="1185482586">
    <w:abstractNumId w:val="27"/>
  </w:num>
  <w:num w:numId="11" w16cid:durableId="391926766">
    <w:abstractNumId w:val="31"/>
  </w:num>
  <w:num w:numId="12" w16cid:durableId="1012688062">
    <w:abstractNumId w:val="23"/>
  </w:num>
  <w:num w:numId="13" w16cid:durableId="647319649">
    <w:abstractNumId w:val="26"/>
  </w:num>
  <w:num w:numId="14" w16cid:durableId="2139370768">
    <w:abstractNumId w:val="3"/>
  </w:num>
  <w:num w:numId="15" w16cid:durableId="523791787">
    <w:abstractNumId w:val="5"/>
  </w:num>
  <w:num w:numId="16" w16cid:durableId="688483143">
    <w:abstractNumId w:val="9"/>
  </w:num>
  <w:num w:numId="17" w16cid:durableId="358896463">
    <w:abstractNumId w:val="7"/>
  </w:num>
  <w:num w:numId="18" w16cid:durableId="1217663866">
    <w:abstractNumId w:val="4"/>
  </w:num>
  <w:num w:numId="19" w16cid:durableId="2144418623">
    <w:abstractNumId w:val="22"/>
  </w:num>
  <w:num w:numId="20" w16cid:durableId="2092391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10"/>
  </w:num>
  <w:num w:numId="24" w16cid:durableId="1554930161">
    <w:abstractNumId w:val="18"/>
  </w:num>
  <w:num w:numId="25" w16cid:durableId="350422164">
    <w:abstractNumId w:val="37"/>
  </w:num>
  <w:num w:numId="26" w16cid:durableId="84154463">
    <w:abstractNumId w:val="0"/>
  </w:num>
  <w:num w:numId="27" w16cid:durableId="1698385205">
    <w:abstractNumId w:val="4"/>
    <w:lvlOverride w:ilvl="0">
      <w:startOverride w:val="1"/>
    </w:lvlOverride>
  </w:num>
  <w:num w:numId="28" w16cid:durableId="210118120">
    <w:abstractNumId w:val="28"/>
  </w:num>
  <w:num w:numId="29" w16cid:durableId="1922330722">
    <w:abstractNumId w:val="1"/>
  </w:num>
  <w:num w:numId="30" w16cid:durableId="1961952744">
    <w:abstractNumId w:val="2"/>
  </w:num>
  <w:num w:numId="31" w16cid:durableId="420027249">
    <w:abstractNumId w:val="15"/>
  </w:num>
  <w:num w:numId="32" w16cid:durableId="534074517">
    <w:abstractNumId w:val="11"/>
  </w:num>
  <w:num w:numId="33" w16cid:durableId="1590232572">
    <w:abstractNumId w:val="25"/>
  </w:num>
  <w:num w:numId="34" w16cid:durableId="1815833940">
    <w:abstractNumId w:val="34"/>
  </w:num>
  <w:num w:numId="35" w16cid:durableId="1665931816">
    <w:abstractNumId w:val="29"/>
  </w:num>
  <w:num w:numId="36" w16cid:durableId="1319531979">
    <w:abstractNumId w:val="14"/>
  </w:num>
  <w:num w:numId="37" w16cid:durableId="1690638098">
    <w:abstractNumId w:val="17"/>
  </w:num>
  <w:num w:numId="38" w16cid:durableId="842820899">
    <w:abstractNumId w:val="8"/>
  </w:num>
  <w:num w:numId="39" w16cid:durableId="1531529965">
    <w:abstractNumId w:val="6"/>
  </w:num>
  <w:num w:numId="40" w16cid:durableId="15473202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1B5"/>
    <w:rsid w:val="00000799"/>
    <w:rsid w:val="00000828"/>
    <w:rsid w:val="00000DFE"/>
    <w:rsid w:val="00001C28"/>
    <w:rsid w:val="0000222F"/>
    <w:rsid w:val="00002639"/>
    <w:rsid w:val="0000300F"/>
    <w:rsid w:val="00003DE5"/>
    <w:rsid w:val="0000474A"/>
    <w:rsid w:val="00004CE0"/>
    <w:rsid w:val="00004CFE"/>
    <w:rsid w:val="00005A10"/>
    <w:rsid w:val="00005B89"/>
    <w:rsid w:val="0000614A"/>
    <w:rsid w:val="000066CA"/>
    <w:rsid w:val="00010656"/>
    <w:rsid w:val="00010F77"/>
    <w:rsid w:val="0001206D"/>
    <w:rsid w:val="00012629"/>
    <w:rsid w:val="00012A6E"/>
    <w:rsid w:val="00012EBA"/>
    <w:rsid w:val="000139EA"/>
    <w:rsid w:val="00014648"/>
    <w:rsid w:val="000148FF"/>
    <w:rsid w:val="0001568A"/>
    <w:rsid w:val="00015E35"/>
    <w:rsid w:val="000160B6"/>
    <w:rsid w:val="0001733E"/>
    <w:rsid w:val="00017935"/>
    <w:rsid w:val="00020D1D"/>
    <w:rsid w:val="000229AA"/>
    <w:rsid w:val="00023E29"/>
    <w:rsid w:val="00024258"/>
    <w:rsid w:val="00024959"/>
    <w:rsid w:val="00024B0F"/>
    <w:rsid w:val="000257E0"/>
    <w:rsid w:val="00025BC3"/>
    <w:rsid w:val="00025E34"/>
    <w:rsid w:val="000264C3"/>
    <w:rsid w:val="0002655E"/>
    <w:rsid w:val="0002702B"/>
    <w:rsid w:val="00027425"/>
    <w:rsid w:val="00027A83"/>
    <w:rsid w:val="00027D0A"/>
    <w:rsid w:val="00030463"/>
    <w:rsid w:val="00031E65"/>
    <w:rsid w:val="00032222"/>
    <w:rsid w:val="000326F9"/>
    <w:rsid w:val="00034103"/>
    <w:rsid w:val="000346C5"/>
    <w:rsid w:val="00035655"/>
    <w:rsid w:val="00036889"/>
    <w:rsid w:val="00036B09"/>
    <w:rsid w:val="00036EAF"/>
    <w:rsid w:val="00036F78"/>
    <w:rsid w:val="00037D5D"/>
    <w:rsid w:val="000411ED"/>
    <w:rsid w:val="00041294"/>
    <w:rsid w:val="00043E2B"/>
    <w:rsid w:val="00044F5F"/>
    <w:rsid w:val="0004547B"/>
    <w:rsid w:val="00045AD4"/>
    <w:rsid w:val="00045F60"/>
    <w:rsid w:val="00046381"/>
    <w:rsid w:val="00046F28"/>
    <w:rsid w:val="000501F0"/>
    <w:rsid w:val="00052620"/>
    <w:rsid w:val="00053360"/>
    <w:rsid w:val="0005549E"/>
    <w:rsid w:val="00056612"/>
    <w:rsid w:val="00056908"/>
    <w:rsid w:val="0005797B"/>
    <w:rsid w:val="00057A7F"/>
    <w:rsid w:val="00057AAA"/>
    <w:rsid w:val="00060689"/>
    <w:rsid w:val="000610FC"/>
    <w:rsid w:val="00061327"/>
    <w:rsid w:val="00061765"/>
    <w:rsid w:val="000623AD"/>
    <w:rsid w:val="00062C2A"/>
    <w:rsid w:val="00063985"/>
    <w:rsid w:val="00063BDA"/>
    <w:rsid w:val="00064640"/>
    <w:rsid w:val="00066B1D"/>
    <w:rsid w:val="00067456"/>
    <w:rsid w:val="00067545"/>
    <w:rsid w:val="00067B6F"/>
    <w:rsid w:val="0007161A"/>
    <w:rsid w:val="00073529"/>
    <w:rsid w:val="00073DC5"/>
    <w:rsid w:val="00076361"/>
    <w:rsid w:val="0007746E"/>
    <w:rsid w:val="000779F4"/>
    <w:rsid w:val="0008051B"/>
    <w:rsid w:val="0008090D"/>
    <w:rsid w:val="00080A7F"/>
    <w:rsid w:val="00080CCC"/>
    <w:rsid w:val="00081391"/>
    <w:rsid w:val="0008159B"/>
    <w:rsid w:val="00081BC6"/>
    <w:rsid w:val="0008244C"/>
    <w:rsid w:val="0008270C"/>
    <w:rsid w:val="000829E6"/>
    <w:rsid w:val="00083C01"/>
    <w:rsid w:val="000842DF"/>
    <w:rsid w:val="00086F9E"/>
    <w:rsid w:val="0008735C"/>
    <w:rsid w:val="000877D7"/>
    <w:rsid w:val="000903E3"/>
    <w:rsid w:val="00090C7C"/>
    <w:rsid w:val="00091781"/>
    <w:rsid w:val="00093C0A"/>
    <w:rsid w:val="000941C6"/>
    <w:rsid w:val="000945A3"/>
    <w:rsid w:val="000948E3"/>
    <w:rsid w:val="00094D7B"/>
    <w:rsid w:val="00094EFF"/>
    <w:rsid w:val="00095CA1"/>
    <w:rsid w:val="00095FBC"/>
    <w:rsid w:val="00096F85"/>
    <w:rsid w:val="000A0691"/>
    <w:rsid w:val="000A07D8"/>
    <w:rsid w:val="000A0E3F"/>
    <w:rsid w:val="000A1418"/>
    <w:rsid w:val="000A17EF"/>
    <w:rsid w:val="000A3749"/>
    <w:rsid w:val="000A3937"/>
    <w:rsid w:val="000A3AB7"/>
    <w:rsid w:val="000A3E2B"/>
    <w:rsid w:val="000A3E41"/>
    <w:rsid w:val="000A4E40"/>
    <w:rsid w:val="000A5DC4"/>
    <w:rsid w:val="000A675E"/>
    <w:rsid w:val="000A78FF"/>
    <w:rsid w:val="000B029F"/>
    <w:rsid w:val="000B0A8E"/>
    <w:rsid w:val="000B15A1"/>
    <w:rsid w:val="000B1623"/>
    <w:rsid w:val="000B2039"/>
    <w:rsid w:val="000B2B2E"/>
    <w:rsid w:val="000B32CD"/>
    <w:rsid w:val="000B3F86"/>
    <w:rsid w:val="000B49BE"/>
    <w:rsid w:val="000B4AEB"/>
    <w:rsid w:val="000B5205"/>
    <w:rsid w:val="000B6B72"/>
    <w:rsid w:val="000B7403"/>
    <w:rsid w:val="000B7AFD"/>
    <w:rsid w:val="000B7E04"/>
    <w:rsid w:val="000C02B0"/>
    <w:rsid w:val="000C0C49"/>
    <w:rsid w:val="000C0FB5"/>
    <w:rsid w:val="000C1BFA"/>
    <w:rsid w:val="000C214C"/>
    <w:rsid w:val="000C2B34"/>
    <w:rsid w:val="000C3BA6"/>
    <w:rsid w:val="000C4D76"/>
    <w:rsid w:val="000C5212"/>
    <w:rsid w:val="000C5492"/>
    <w:rsid w:val="000C579F"/>
    <w:rsid w:val="000C7AA4"/>
    <w:rsid w:val="000C7BA6"/>
    <w:rsid w:val="000C7E87"/>
    <w:rsid w:val="000D2D6C"/>
    <w:rsid w:val="000D42B2"/>
    <w:rsid w:val="000D49C2"/>
    <w:rsid w:val="000D56B6"/>
    <w:rsid w:val="000D5C32"/>
    <w:rsid w:val="000D6604"/>
    <w:rsid w:val="000D6AEC"/>
    <w:rsid w:val="000D7A40"/>
    <w:rsid w:val="000D7CB8"/>
    <w:rsid w:val="000E05AE"/>
    <w:rsid w:val="000E0AD0"/>
    <w:rsid w:val="000E1577"/>
    <w:rsid w:val="000E35CC"/>
    <w:rsid w:val="000E5088"/>
    <w:rsid w:val="000E6801"/>
    <w:rsid w:val="000E7715"/>
    <w:rsid w:val="000E79F2"/>
    <w:rsid w:val="000E7CF9"/>
    <w:rsid w:val="000F02E3"/>
    <w:rsid w:val="000F03BD"/>
    <w:rsid w:val="000F0A50"/>
    <w:rsid w:val="000F0DDF"/>
    <w:rsid w:val="000F1213"/>
    <w:rsid w:val="000F132C"/>
    <w:rsid w:val="000F1ED5"/>
    <w:rsid w:val="000F286C"/>
    <w:rsid w:val="000F2CCD"/>
    <w:rsid w:val="000F51BF"/>
    <w:rsid w:val="000F5930"/>
    <w:rsid w:val="000F60D9"/>
    <w:rsid w:val="000F6233"/>
    <w:rsid w:val="000F62E7"/>
    <w:rsid w:val="00100A2F"/>
    <w:rsid w:val="00100FDB"/>
    <w:rsid w:val="0010135B"/>
    <w:rsid w:val="001019A9"/>
    <w:rsid w:val="001028EA"/>
    <w:rsid w:val="00102A2F"/>
    <w:rsid w:val="00102E33"/>
    <w:rsid w:val="00103260"/>
    <w:rsid w:val="00103763"/>
    <w:rsid w:val="00103A7E"/>
    <w:rsid w:val="00103BC4"/>
    <w:rsid w:val="00104130"/>
    <w:rsid w:val="001054A4"/>
    <w:rsid w:val="00105990"/>
    <w:rsid w:val="00105C68"/>
    <w:rsid w:val="0010683F"/>
    <w:rsid w:val="001104A5"/>
    <w:rsid w:val="001111F5"/>
    <w:rsid w:val="00111DF2"/>
    <w:rsid w:val="00111EE0"/>
    <w:rsid w:val="001121CA"/>
    <w:rsid w:val="00112366"/>
    <w:rsid w:val="00112981"/>
    <w:rsid w:val="00113E67"/>
    <w:rsid w:val="00114746"/>
    <w:rsid w:val="00115C56"/>
    <w:rsid w:val="001161BD"/>
    <w:rsid w:val="001165A0"/>
    <w:rsid w:val="00117477"/>
    <w:rsid w:val="00120AD7"/>
    <w:rsid w:val="00121287"/>
    <w:rsid w:val="00121451"/>
    <w:rsid w:val="00121BC7"/>
    <w:rsid w:val="0012217E"/>
    <w:rsid w:val="00122A1C"/>
    <w:rsid w:val="00122A8E"/>
    <w:rsid w:val="00122DD3"/>
    <w:rsid w:val="00122FBD"/>
    <w:rsid w:val="00124614"/>
    <w:rsid w:val="001259F9"/>
    <w:rsid w:val="001261F9"/>
    <w:rsid w:val="00126293"/>
    <w:rsid w:val="00126FB1"/>
    <w:rsid w:val="0013042F"/>
    <w:rsid w:val="00130955"/>
    <w:rsid w:val="00130980"/>
    <w:rsid w:val="00130AC8"/>
    <w:rsid w:val="0013186B"/>
    <w:rsid w:val="00131C86"/>
    <w:rsid w:val="0013302E"/>
    <w:rsid w:val="00133602"/>
    <w:rsid w:val="00133BB5"/>
    <w:rsid w:val="001351E4"/>
    <w:rsid w:val="00136614"/>
    <w:rsid w:val="00136EEB"/>
    <w:rsid w:val="001371C1"/>
    <w:rsid w:val="001373F8"/>
    <w:rsid w:val="00137490"/>
    <w:rsid w:val="00140694"/>
    <w:rsid w:val="00140CD3"/>
    <w:rsid w:val="00142F93"/>
    <w:rsid w:val="00143D40"/>
    <w:rsid w:val="00143D7E"/>
    <w:rsid w:val="0014562E"/>
    <w:rsid w:val="0014746F"/>
    <w:rsid w:val="00147A84"/>
    <w:rsid w:val="00150131"/>
    <w:rsid w:val="001510A1"/>
    <w:rsid w:val="00151B13"/>
    <w:rsid w:val="00152486"/>
    <w:rsid w:val="001547F2"/>
    <w:rsid w:val="001548AB"/>
    <w:rsid w:val="0015725F"/>
    <w:rsid w:val="0016012E"/>
    <w:rsid w:val="0016087B"/>
    <w:rsid w:val="001609D7"/>
    <w:rsid w:val="00161B64"/>
    <w:rsid w:val="00161B6D"/>
    <w:rsid w:val="001620F3"/>
    <w:rsid w:val="001632D5"/>
    <w:rsid w:val="00163F17"/>
    <w:rsid w:val="00164790"/>
    <w:rsid w:val="0016509E"/>
    <w:rsid w:val="00165386"/>
    <w:rsid w:val="00165D53"/>
    <w:rsid w:val="001704B0"/>
    <w:rsid w:val="001705CA"/>
    <w:rsid w:val="00170EDE"/>
    <w:rsid w:val="001719CB"/>
    <w:rsid w:val="00174F9D"/>
    <w:rsid w:val="00175403"/>
    <w:rsid w:val="00176032"/>
    <w:rsid w:val="00176F1D"/>
    <w:rsid w:val="0017716D"/>
    <w:rsid w:val="00177ECC"/>
    <w:rsid w:val="00180B6D"/>
    <w:rsid w:val="0018444E"/>
    <w:rsid w:val="001852A6"/>
    <w:rsid w:val="0018559E"/>
    <w:rsid w:val="00186F72"/>
    <w:rsid w:val="00187A4E"/>
    <w:rsid w:val="00191C34"/>
    <w:rsid w:val="00191F88"/>
    <w:rsid w:val="00192809"/>
    <w:rsid w:val="00192A32"/>
    <w:rsid w:val="00192A9B"/>
    <w:rsid w:val="0019448B"/>
    <w:rsid w:val="001947F1"/>
    <w:rsid w:val="001948C8"/>
    <w:rsid w:val="00194F1A"/>
    <w:rsid w:val="00196760"/>
    <w:rsid w:val="001969C5"/>
    <w:rsid w:val="00197E8D"/>
    <w:rsid w:val="00197FCE"/>
    <w:rsid w:val="001A0771"/>
    <w:rsid w:val="001A0ED1"/>
    <w:rsid w:val="001A12DF"/>
    <w:rsid w:val="001A21E9"/>
    <w:rsid w:val="001A2913"/>
    <w:rsid w:val="001A3A6C"/>
    <w:rsid w:val="001A4359"/>
    <w:rsid w:val="001A4E89"/>
    <w:rsid w:val="001A5596"/>
    <w:rsid w:val="001A7517"/>
    <w:rsid w:val="001B0263"/>
    <w:rsid w:val="001B08CB"/>
    <w:rsid w:val="001B09EF"/>
    <w:rsid w:val="001B209B"/>
    <w:rsid w:val="001B239A"/>
    <w:rsid w:val="001B2506"/>
    <w:rsid w:val="001B30E1"/>
    <w:rsid w:val="001B3DCC"/>
    <w:rsid w:val="001B4175"/>
    <w:rsid w:val="001C0B3F"/>
    <w:rsid w:val="001C2C11"/>
    <w:rsid w:val="001C2E63"/>
    <w:rsid w:val="001C2F10"/>
    <w:rsid w:val="001C3DC1"/>
    <w:rsid w:val="001C5537"/>
    <w:rsid w:val="001C5539"/>
    <w:rsid w:val="001C5739"/>
    <w:rsid w:val="001C5D22"/>
    <w:rsid w:val="001C6A69"/>
    <w:rsid w:val="001D0081"/>
    <w:rsid w:val="001D0B2F"/>
    <w:rsid w:val="001D0C3F"/>
    <w:rsid w:val="001D10A0"/>
    <w:rsid w:val="001D2305"/>
    <w:rsid w:val="001D291C"/>
    <w:rsid w:val="001D2ED0"/>
    <w:rsid w:val="001D2EDF"/>
    <w:rsid w:val="001D3AD5"/>
    <w:rsid w:val="001D3E81"/>
    <w:rsid w:val="001D4089"/>
    <w:rsid w:val="001D43B1"/>
    <w:rsid w:val="001D50D7"/>
    <w:rsid w:val="001D597E"/>
    <w:rsid w:val="001D6268"/>
    <w:rsid w:val="001D6A7D"/>
    <w:rsid w:val="001D7FAD"/>
    <w:rsid w:val="001D7FD4"/>
    <w:rsid w:val="001E09ED"/>
    <w:rsid w:val="001E1301"/>
    <w:rsid w:val="001E1C4F"/>
    <w:rsid w:val="001E2389"/>
    <w:rsid w:val="001E29E5"/>
    <w:rsid w:val="001E2BBE"/>
    <w:rsid w:val="001E380B"/>
    <w:rsid w:val="001E3B97"/>
    <w:rsid w:val="001E3E1C"/>
    <w:rsid w:val="001E419F"/>
    <w:rsid w:val="001E5C48"/>
    <w:rsid w:val="001E6524"/>
    <w:rsid w:val="001E732C"/>
    <w:rsid w:val="001F065E"/>
    <w:rsid w:val="001F1779"/>
    <w:rsid w:val="001F23EA"/>
    <w:rsid w:val="001F29B6"/>
    <w:rsid w:val="001F2C26"/>
    <w:rsid w:val="001F39E0"/>
    <w:rsid w:val="001F561D"/>
    <w:rsid w:val="001F6E3D"/>
    <w:rsid w:val="001F704A"/>
    <w:rsid w:val="001F737B"/>
    <w:rsid w:val="0020217A"/>
    <w:rsid w:val="00202187"/>
    <w:rsid w:val="002022FE"/>
    <w:rsid w:val="00204302"/>
    <w:rsid w:val="00204C60"/>
    <w:rsid w:val="00205CFE"/>
    <w:rsid w:val="00206056"/>
    <w:rsid w:val="00206290"/>
    <w:rsid w:val="00206F8D"/>
    <w:rsid w:val="00207B48"/>
    <w:rsid w:val="00207C35"/>
    <w:rsid w:val="00210135"/>
    <w:rsid w:val="002110EE"/>
    <w:rsid w:val="00214E9E"/>
    <w:rsid w:val="00215A6F"/>
    <w:rsid w:val="00220B90"/>
    <w:rsid w:val="00221BAC"/>
    <w:rsid w:val="00221BC7"/>
    <w:rsid w:val="00222B1B"/>
    <w:rsid w:val="00223322"/>
    <w:rsid w:val="00223ED5"/>
    <w:rsid w:val="002241C7"/>
    <w:rsid w:val="00224867"/>
    <w:rsid w:val="002248CF"/>
    <w:rsid w:val="00224BED"/>
    <w:rsid w:val="00224DD8"/>
    <w:rsid w:val="0022564E"/>
    <w:rsid w:val="00225E15"/>
    <w:rsid w:val="002267A0"/>
    <w:rsid w:val="00226E60"/>
    <w:rsid w:val="002275C5"/>
    <w:rsid w:val="00227778"/>
    <w:rsid w:val="00227E3E"/>
    <w:rsid w:val="00227F1D"/>
    <w:rsid w:val="00230079"/>
    <w:rsid w:val="002307A9"/>
    <w:rsid w:val="002310F9"/>
    <w:rsid w:val="00232B8B"/>
    <w:rsid w:val="00233251"/>
    <w:rsid w:val="00233260"/>
    <w:rsid w:val="00233DFF"/>
    <w:rsid w:val="00233F02"/>
    <w:rsid w:val="002353F9"/>
    <w:rsid w:val="002362AE"/>
    <w:rsid w:val="00237CEE"/>
    <w:rsid w:val="00240D8B"/>
    <w:rsid w:val="002419CE"/>
    <w:rsid w:val="00241DDA"/>
    <w:rsid w:val="00241F23"/>
    <w:rsid w:val="00242275"/>
    <w:rsid w:val="002422B6"/>
    <w:rsid w:val="0024478D"/>
    <w:rsid w:val="00245AA2"/>
    <w:rsid w:val="00245CCB"/>
    <w:rsid w:val="00246361"/>
    <w:rsid w:val="00246458"/>
    <w:rsid w:val="0024676E"/>
    <w:rsid w:val="00246D8E"/>
    <w:rsid w:val="00246DF2"/>
    <w:rsid w:val="00250144"/>
    <w:rsid w:val="00250252"/>
    <w:rsid w:val="0025052C"/>
    <w:rsid w:val="0025072D"/>
    <w:rsid w:val="0025091C"/>
    <w:rsid w:val="00250D52"/>
    <w:rsid w:val="00251005"/>
    <w:rsid w:val="002510BE"/>
    <w:rsid w:val="00251DF2"/>
    <w:rsid w:val="00252350"/>
    <w:rsid w:val="002530FC"/>
    <w:rsid w:val="00254162"/>
    <w:rsid w:val="00254D16"/>
    <w:rsid w:val="00255363"/>
    <w:rsid w:val="0025613B"/>
    <w:rsid w:val="00256F72"/>
    <w:rsid w:val="00257562"/>
    <w:rsid w:val="00257B89"/>
    <w:rsid w:val="00257FF2"/>
    <w:rsid w:val="002609A6"/>
    <w:rsid w:val="00260E5F"/>
    <w:rsid w:val="0026165E"/>
    <w:rsid w:val="00262C02"/>
    <w:rsid w:val="00262C70"/>
    <w:rsid w:val="00264F3C"/>
    <w:rsid w:val="00265D66"/>
    <w:rsid w:val="00270C2D"/>
    <w:rsid w:val="00271BE1"/>
    <w:rsid w:val="00272125"/>
    <w:rsid w:val="00272AC8"/>
    <w:rsid w:val="00272E3C"/>
    <w:rsid w:val="00273196"/>
    <w:rsid w:val="00273225"/>
    <w:rsid w:val="0027350C"/>
    <w:rsid w:val="00273FC8"/>
    <w:rsid w:val="002748B9"/>
    <w:rsid w:val="00274A2F"/>
    <w:rsid w:val="00274AF8"/>
    <w:rsid w:val="00274B74"/>
    <w:rsid w:val="00275A1D"/>
    <w:rsid w:val="0027615A"/>
    <w:rsid w:val="00276992"/>
    <w:rsid w:val="00276E84"/>
    <w:rsid w:val="002771FD"/>
    <w:rsid w:val="002772F9"/>
    <w:rsid w:val="00280385"/>
    <w:rsid w:val="002807C7"/>
    <w:rsid w:val="00281A70"/>
    <w:rsid w:val="00282140"/>
    <w:rsid w:val="002834A3"/>
    <w:rsid w:val="002836F2"/>
    <w:rsid w:val="00283C17"/>
    <w:rsid w:val="00284AFD"/>
    <w:rsid w:val="002858AB"/>
    <w:rsid w:val="00286C4D"/>
    <w:rsid w:val="00290D34"/>
    <w:rsid w:val="00290FDC"/>
    <w:rsid w:val="002927BC"/>
    <w:rsid w:val="002937F0"/>
    <w:rsid w:val="00294932"/>
    <w:rsid w:val="00295363"/>
    <w:rsid w:val="00295621"/>
    <w:rsid w:val="0029602B"/>
    <w:rsid w:val="002964D7"/>
    <w:rsid w:val="00297BCE"/>
    <w:rsid w:val="002A0932"/>
    <w:rsid w:val="002A11EB"/>
    <w:rsid w:val="002A2371"/>
    <w:rsid w:val="002A3029"/>
    <w:rsid w:val="002A341E"/>
    <w:rsid w:val="002A3981"/>
    <w:rsid w:val="002A3CBA"/>
    <w:rsid w:val="002A5E42"/>
    <w:rsid w:val="002A6155"/>
    <w:rsid w:val="002A6180"/>
    <w:rsid w:val="002A6663"/>
    <w:rsid w:val="002A6714"/>
    <w:rsid w:val="002A6806"/>
    <w:rsid w:val="002A6C0A"/>
    <w:rsid w:val="002A7BB7"/>
    <w:rsid w:val="002A7BC3"/>
    <w:rsid w:val="002B0187"/>
    <w:rsid w:val="002B01DC"/>
    <w:rsid w:val="002B0419"/>
    <w:rsid w:val="002B0A68"/>
    <w:rsid w:val="002B135A"/>
    <w:rsid w:val="002B2227"/>
    <w:rsid w:val="002B26A1"/>
    <w:rsid w:val="002B3CC5"/>
    <w:rsid w:val="002B550F"/>
    <w:rsid w:val="002C0744"/>
    <w:rsid w:val="002C1392"/>
    <w:rsid w:val="002C21A2"/>
    <w:rsid w:val="002C3219"/>
    <w:rsid w:val="002C3226"/>
    <w:rsid w:val="002C36FC"/>
    <w:rsid w:val="002C412D"/>
    <w:rsid w:val="002C4474"/>
    <w:rsid w:val="002C455D"/>
    <w:rsid w:val="002C4ECE"/>
    <w:rsid w:val="002C5638"/>
    <w:rsid w:val="002C6659"/>
    <w:rsid w:val="002C7117"/>
    <w:rsid w:val="002D0267"/>
    <w:rsid w:val="002D0346"/>
    <w:rsid w:val="002D08A6"/>
    <w:rsid w:val="002D28D5"/>
    <w:rsid w:val="002D477D"/>
    <w:rsid w:val="002D4BD0"/>
    <w:rsid w:val="002E0694"/>
    <w:rsid w:val="002E1323"/>
    <w:rsid w:val="002E1A63"/>
    <w:rsid w:val="002E1DA1"/>
    <w:rsid w:val="002E42B1"/>
    <w:rsid w:val="002E4D48"/>
    <w:rsid w:val="002E5B16"/>
    <w:rsid w:val="002E61E8"/>
    <w:rsid w:val="002E6680"/>
    <w:rsid w:val="002E66D1"/>
    <w:rsid w:val="002F0230"/>
    <w:rsid w:val="002F068D"/>
    <w:rsid w:val="002F0C6F"/>
    <w:rsid w:val="002F0C99"/>
    <w:rsid w:val="002F0CB5"/>
    <w:rsid w:val="002F1039"/>
    <w:rsid w:val="002F2745"/>
    <w:rsid w:val="002F288D"/>
    <w:rsid w:val="002F461D"/>
    <w:rsid w:val="002F4C6B"/>
    <w:rsid w:val="002F4F15"/>
    <w:rsid w:val="002F512A"/>
    <w:rsid w:val="002F55A8"/>
    <w:rsid w:val="002F55D0"/>
    <w:rsid w:val="002F5798"/>
    <w:rsid w:val="002F766F"/>
    <w:rsid w:val="00300F33"/>
    <w:rsid w:val="00301652"/>
    <w:rsid w:val="00301E88"/>
    <w:rsid w:val="00301F93"/>
    <w:rsid w:val="00302C9F"/>
    <w:rsid w:val="00303D63"/>
    <w:rsid w:val="00303F96"/>
    <w:rsid w:val="0030499D"/>
    <w:rsid w:val="00304B9B"/>
    <w:rsid w:val="00305622"/>
    <w:rsid w:val="003064D9"/>
    <w:rsid w:val="00306620"/>
    <w:rsid w:val="00306BA9"/>
    <w:rsid w:val="00306F55"/>
    <w:rsid w:val="00307CC0"/>
    <w:rsid w:val="003116A7"/>
    <w:rsid w:val="00313D2E"/>
    <w:rsid w:val="003141DB"/>
    <w:rsid w:val="00315126"/>
    <w:rsid w:val="003163DD"/>
    <w:rsid w:val="0031711D"/>
    <w:rsid w:val="00317BEF"/>
    <w:rsid w:val="00320FF5"/>
    <w:rsid w:val="0032178A"/>
    <w:rsid w:val="0032203B"/>
    <w:rsid w:val="00324A1C"/>
    <w:rsid w:val="00325368"/>
    <w:rsid w:val="00327879"/>
    <w:rsid w:val="003279C1"/>
    <w:rsid w:val="00331F49"/>
    <w:rsid w:val="003325C5"/>
    <w:rsid w:val="0033270D"/>
    <w:rsid w:val="00332E9D"/>
    <w:rsid w:val="0033328A"/>
    <w:rsid w:val="0033333B"/>
    <w:rsid w:val="00333D5E"/>
    <w:rsid w:val="003349FF"/>
    <w:rsid w:val="00334C26"/>
    <w:rsid w:val="003355AA"/>
    <w:rsid w:val="0033592D"/>
    <w:rsid w:val="00335CE0"/>
    <w:rsid w:val="00336695"/>
    <w:rsid w:val="00336C1B"/>
    <w:rsid w:val="00337356"/>
    <w:rsid w:val="003376A3"/>
    <w:rsid w:val="00337FAF"/>
    <w:rsid w:val="0034146A"/>
    <w:rsid w:val="0034160D"/>
    <w:rsid w:val="0034244F"/>
    <w:rsid w:val="003431F1"/>
    <w:rsid w:val="0034349D"/>
    <w:rsid w:val="00343E1D"/>
    <w:rsid w:val="003450EB"/>
    <w:rsid w:val="0034598F"/>
    <w:rsid w:val="00345ACF"/>
    <w:rsid w:val="00347463"/>
    <w:rsid w:val="0034775A"/>
    <w:rsid w:val="00347FB6"/>
    <w:rsid w:val="003500E8"/>
    <w:rsid w:val="0035017F"/>
    <w:rsid w:val="00350608"/>
    <w:rsid w:val="0035089F"/>
    <w:rsid w:val="0035152B"/>
    <w:rsid w:val="00351EA0"/>
    <w:rsid w:val="003523A2"/>
    <w:rsid w:val="003523EE"/>
    <w:rsid w:val="00353CDB"/>
    <w:rsid w:val="00354287"/>
    <w:rsid w:val="00354316"/>
    <w:rsid w:val="00355169"/>
    <w:rsid w:val="0035526F"/>
    <w:rsid w:val="00355346"/>
    <w:rsid w:val="003561BD"/>
    <w:rsid w:val="003567C8"/>
    <w:rsid w:val="00356BCE"/>
    <w:rsid w:val="00357324"/>
    <w:rsid w:val="003577F5"/>
    <w:rsid w:val="00361561"/>
    <w:rsid w:val="00361978"/>
    <w:rsid w:val="0036297B"/>
    <w:rsid w:val="00362FA9"/>
    <w:rsid w:val="00363312"/>
    <w:rsid w:val="00364E17"/>
    <w:rsid w:val="0036547B"/>
    <w:rsid w:val="00366D11"/>
    <w:rsid w:val="00367700"/>
    <w:rsid w:val="00371202"/>
    <w:rsid w:val="00371A8F"/>
    <w:rsid w:val="00372460"/>
    <w:rsid w:val="0037263E"/>
    <w:rsid w:val="00372F9C"/>
    <w:rsid w:val="00373D92"/>
    <w:rsid w:val="003764AA"/>
    <w:rsid w:val="00376C3E"/>
    <w:rsid w:val="0037796F"/>
    <w:rsid w:val="00377F17"/>
    <w:rsid w:val="00380203"/>
    <w:rsid w:val="003806AF"/>
    <w:rsid w:val="00380AD1"/>
    <w:rsid w:val="00380D63"/>
    <w:rsid w:val="00381D1D"/>
    <w:rsid w:val="003821D1"/>
    <w:rsid w:val="003840DC"/>
    <w:rsid w:val="0038453E"/>
    <w:rsid w:val="00385864"/>
    <w:rsid w:val="003859A5"/>
    <w:rsid w:val="003868AB"/>
    <w:rsid w:val="003872CF"/>
    <w:rsid w:val="003900E3"/>
    <w:rsid w:val="00390140"/>
    <w:rsid w:val="00390F42"/>
    <w:rsid w:val="0039198F"/>
    <w:rsid w:val="00393122"/>
    <w:rsid w:val="003932D4"/>
    <w:rsid w:val="003937A8"/>
    <w:rsid w:val="003937D3"/>
    <w:rsid w:val="00394A7E"/>
    <w:rsid w:val="003958A3"/>
    <w:rsid w:val="003958A6"/>
    <w:rsid w:val="003963B4"/>
    <w:rsid w:val="003965C9"/>
    <w:rsid w:val="00396A2A"/>
    <w:rsid w:val="00396B68"/>
    <w:rsid w:val="00396F8E"/>
    <w:rsid w:val="0039746F"/>
    <w:rsid w:val="003A1433"/>
    <w:rsid w:val="003A1FA6"/>
    <w:rsid w:val="003A22D0"/>
    <w:rsid w:val="003A2CE2"/>
    <w:rsid w:val="003A3466"/>
    <w:rsid w:val="003A3999"/>
    <w:rsid w:val="003A4192"/>
    <w:rsid w:val="003A4432"/>
    <w:rsid w:val="003A4B99"/>
    <w:rsid w:val="003A592C"/>
    <w:rsid w:val="003A6B23"/>
    <w:rsid w:val="003A70B1"/>
    <w:rsid w:val="003A73F7"/>
    <w:rsid w:val="003A7CF0"/>
    <w:rsid w:val="003A7EA9"/>
    <w:rsid w:val="003B07D4"/>
    <w:rsid w:val="003B0874"/>
    <w:rsid w:val="003B0E4D"/>
    <w:rsid w:val="003B2135"/>
    <w:rsid w:val="003B4A61"/>
    <w:rsid w:val="003B5883"/>
    <w:rsid w:val="003B5F9B"/>
    <w:rsid w:val="003B673B"/>
    <w:rsid w:val="003B702C"/>
    <w:rsid w:val="003C099F"/>
    <w:rsid w:val="003C0C7F"/>
    <w:rsid w:val="003C126B"/>
    <w:rsid w:val="003C13E3"/>
    <w:rsid w:val="003C2323"/>
    <w:rsid w:val="003C238D"/>
    <w:rsid w:val="003C2569"/>
    <w:rsid w:val="003C25F8"/>
    <w:rsid w:val="003C274D"/>
    <w:rsid w:val="003C3DB1"/>
    <w:rsid w:val="003C4122"/>
    <w:rsid w:val="003C4AEA"/>
    <w:rsid w:val="003C4E09"/>
    <w:rsid w:val="003C4FD6"/>
    <w:rsid w:val="003C5395"/>
    <w:rsid w:val="003C6374"/>
    <w:rsid w:val="003D27DB"/>
    <w:rsid w:val="003D30F5"/>
    <w:rsid w:val="003D3545"/>
    <w:rsid w:val="003D38F5"/>
    <w:rsid w:val="003D3C9B"/>
    <w:rsid w:val="003D3D22"/>
    <w:rsid w:val="003D4236"/>
    <w:rsid w:val="003D47F3"/>
    <w:rsid w:val="003D4FC6"/>
    <w:rsid w:val="003D51CA"/>
    <w:rsid w:val="003D5351"/>
    <w:rsid w:val="003D6099"/>
    <w:rsid w:val="003D61AA"/>
    <w:rsid w:val="003D64B6"/>
    <w:rsid w:val="003D66ED"/>
    <w:rsid w:val="003D6716"/>
    <w:rsid w:val="003D72A7"/>
    <w:rsid w:val="003E0F06"/>
    <w:rsid w:val="003E1019"/>
    <w:rsid w:val="003E1291"/>
    <w:rsid w:val="003E154D"/>
    <w:rsid w:val="003E2C47"/>
    <w:rsid w:val="003E38AA"/>
    <w:rsid w:val="003E3E3B"/>
    <w:rsid w:val="003E446B"/>
    <w:rsid w:val="003E45B6"/>
    <w:rsid w:val="003E48D7"/>
    <w:rsid w:val="003E5FB2"/>
    <w:rsid w:val="003E6D37"/>
    <w:rsid w:val="003E75F0"/>
    <w:rsid w:val="003F0493"/>
    <w:rsid w:val="003F1A3A"/>
    <w:rsid w:val="003F2AD6"/>
    <w:rsid w:val="003F4138"/>
    <w:rsid w:val="003F504A"/>
    <w:rsid w:val="003F51EA"/>
    <w:rsid w:val="003F5672"/>
    <w:rsid w:val="003F5E34"/>
    <w:rsid w:val="003F60A8"/>
    <w:rsid w:val="003F695E"/>
    <w:rsid w:val="003F6B8E"/>
    <w:rsid w:val="003F6BD1"/>
    <w:rsid w:val="003F72B9"/>
    <w:rsid w:val="003F7CA1"/>
    <w:rsid w:val="003F7DAA"/>
    <w:rsid w:val="00401128"/>
    <w:rsid w:val="004012DE"/>
    <w:rsid w:val="0040328B"/>
    <w:rsid w:val="00404387"/>
    <w:rsid w:val="004048FE"/>
    <w:rsid w:val="00405547"/>
    <w:rsid w:val="004058EA"/>
    <w:rsid w:val="004061AE"/>
    <w:rsid w:val="00406391"/>
    <w:rsid w:val="00406C10"/>
    <w:rsid w:val="00406C91"/>
    <w:rsid w:val="00407126"/>
    <w:rsid w:val="004072AD"/>
    <w:rsid w:val="00407862"/>
    <w:rsid w:val="00411FF8"/>
    <w:rsid w:val="00413B46"/>
    <w:rsid w:val="00414AB6"/>
    <w:rsid w:val="00415859"/>
    <w:rsid w:val="00415E02"/>
    <w:rsid w:val="0041624E"/>
    <w:rsid w:val="00416522"/>
    <w:rsid w:val="004167FD"/>
    <w:rsid w:val="00416FCA"/>
    <w:rsid w:val="00417637"/>
    <w:rsid w:val="0041766C"/>
    <w:rsid w:val="00420131"/>
    <w:rsid w:val="00421391"/>
    <w:rsid w:val="00421ADD"/>
    <w:rsid w:val="00423DC3"/>
    <w:rsid w:val="00423E25"/>
    <w:rsid w:val="004240C2"/>
    <w:rsid w:val="004248F1"/>
    <w:rsid w:val="00424EB3"/>
    <w:rsid w:val="00425458"/>
    <w:rsid w:val="00425672"/>
    <w:rsid w:val="00425DB0"/>
    <w:rsid w:val="004260C7"/>
    <w:rsid w:val="00427D05"/>
    <w:rsid w:val="00431972"/>
    <w:rsid w:val="00431F6F"/>
    <w:rsid w:val="00432016"/>
    <w:rsid w:val="004322BF"/>
    <w:rsid w:val="0043322D"/>
    <w:rsid w:val="004333D0"/>
    <w:rsid w:val="004354F7"/>
    <w:rsid w:val="00435AC2"/>
    <w:rsid w:val="00437334"/>
    <w:rsid w:val="00437A95"/>
    <w:rsid w:val="00442F78"/>
    <w:rsid w:val="004431D6"/>
    <w:rsid w:val="0044410D"/>
    <w:rsid w:val="004457F4"/>
    <w:rsid w:val="00445F9A"/>
    <w:rsid w:val="00446FB8"/>
    <w:rsid w:val="00447017"/>
    <w:rsid w:val="0044702F"/>
    <w:rsid w:val="0044709B"/>
    <w:rsid w:val="0044718C"/>
    <w:rsid w:val="0045059E"/>
    <w:rsid w:val="0045115D"/>
    <w:rsid w:val="004537F5"/>
    <w:rsid w:val="004538E1"/>
    <w:rsid w:val="0045432D"/>
    <w:rsid w:val="0045578C"/>
    <w:rsid w:val="004564E1"/>
    <w:rsid w:val="004568DA"/>
    <w:rsid w:val="004613D3"/>
    <w:rsid w:val="004613F8"/>
    <w:rsid w:val="00462677"/>
    <w:rsid w:val="004627CB"/>
    <w:rsid w:val="004630DE"/>
    <w:rsid w:val="00464D17"/>
    <w:rsid w:val="00465167"/>
    <w:rsid w:val="00465A54"/>
    <w:rsid w:val="00465D8C"/>
    <w:rsid w:val="00466AFE"/>
    <w:rsid w:val="00466DEF"/>
    <w:rsid w:val="00466FFB"/>
    <w:rsid w:val="00467B48"/>
    <w:rsid w:val="004700E6"/>
    <w:rsid w:val="00470D33"/>
    <w:rsid w:val="00470F78"/>
    <w:rsid w:val="004710E4"/>
    <w:rsid w:val="0047213E"/>
    <w:rsid w:val="00472413"/>
    <w:rsid w:val="00473459"/>
    <w:rsid w:val="00473586"/>
    <w:rsid w:val="00476555"/>
    <w:rsid w:val="00476663"/>
    <w:rsid w:val="0047667C"/>
    <w:rsid w:val="004768CE"/>
    <w:rsid w:val="00477428"/>
    <w:rsid w:val="00477E8E"/>
    <w:rsid w:val="00480049"/>
    <w:rsid w:val="00480D0C"/>
    <w:rsid w:val="0048241E"/>
    <w:rsid w:val="00482513"/>
    <w:rsid w:val="004828F3"/>
    <w:rsid w:val="00482991"/>
    <w:rsid w:val="00482C01"/>
    <w:rsid w:val="00483860"/>
    <w:rsid w:val="00483955"/>
    <w:rsid w:val="00483EA1"/>
    <w:rsid w:val="00484147"/>
    <w:rsid w:val="00484516"/>
    <w:rsid w:val="00484E49"/>
    <w:rsid w:val="0048554D"/>
    <w:rsid w:val="004857C7"/>
    <w:rsid w:val="004857E5"/>
    <w:rsid w:val="00486062"/>
    <w:rsid w:val="004861C3"/>
    <w:rsid w:val="004871E8"/>
    <w:rsid w:val="00487B5D"/>
    <w:rsid w:val="004916E3"/>
    <w:rsid w:val="00491933"/>
    <w:rsid w:val="004919F9"/>
    <w:rsid w:val="00491E0A"/>
    <w:rsid w:val="004929D1"/>
    <w:rsid w:val="00492A6C"/>
    <w:rsid w:val="00492D5B"/>
    <w:rsid w:val="00493BEC"/>
    <w:rsid w:val="004945A6"/>
    <w:rsid w:val="004959EC"/>
    <w:rsid w:val="00496591"/>
    <w:rsid w:val="00496834"/>
    <w:rsid w:val="004A17E0"/>
    <w:rsid w:val="004A3F82"/>
    <w:rsid w:val="004A4102"/>
    <w:rsid w:val="004A485B"/>
    <w:rsid w:val="004A4A3E"/>
    <w:rsid w:val="004A65C5"/>
    <w:rsid w:val="004A685C"/>
    <w:rsid w:val="004A6B56"/>
    <w:rsid w:val="004B02F4"/>
    <w:rsid w:val="004B08AE"/>
    <w:rsid w:val="004B0A23"/>
    <w:rsid w:val="004B15B0"/>
    <w:rsid w:val="004B16CF"/>
    <w:rsid w:val="004B1967"/>
    <w:rsid w:val="004B1C03"/>
    <w:rsid w:val="004B2BB2"/>
    <w:rsid w:val="004B4130"/>
    <w:rsid w:val="004B4456"/>
    <w:rsid w:val="004B47E8"/>
    <w:rsid w:val="004B51D6"/>
    <w:rsid w:val="004B55DF"/>
    <w:rsid w:val="004B5D7A"/>
    <w:rsid w:val="004B780C"/>
    <w:rsid w:val="004B7C2B"/>
    <w:rsid w:val="004C09BC"/>
    <w:rsid w:val="004C0A26"/>
    <w:rsid w:val="004C0D88"/>
    <w:rsid w:val="004C183F"/>
    <w:rsid w:val="004C3803"/>
    <w:rsid w:val="004C41DD"/>
    <w:rsid w:val="004C6263"/>
    <w:rsid w:val="004C67FF"/>
    <w:rsid w:val="004C7836"/>
    <w:rsid w:val="004C7C94"/>
    <w:rsid w:val="004C7DD8"/>
    <w:rsid w:val="004D02A9"/>
    <w:rsid w:val="004D3C3D"/>
    <w:rsid w:val="004D3CDF"/>
    <w:rsid w:val="004D45E8"/>
    <w:rsid w:val="004D4D62"/>
    <w:rsid w:val="004D5335"/>
    <w:rsid w:val="004D5510"/>
    <w:rsid w:val="004D5664"/>
    <w:rsid w:val="004D61BB"/>
    <w:rsid w:val="004D755A"/>
    <w:rsid w:val="004D7915"/>
    <w:rsid w:val="004E004D"/>
    <w:rsid w:val="004E0BE5"/>
    <w:rsid w:val="004E1E9A"/>
    <w:rsid w:val="004E2472"/>
    <w:rsid w:val="004E2B55"/>
    <w:rsid w:val="004E3508"/>
    <w:rsid w:val="004E3572"/>
    <w:rsid w:val="004E3D05"/>
    <w:rsid w:val="004E4BA2"/>
    <w:rsid w:val="004E540F"/>
    <w:rsid w:val="004E61C9"/>
    <w:rsid w:val="004E6210"/>
    <w:rsid w:val="004F2016"/>
    <w:rsid w:val="004F30C0"/>
    <w:rsid w:val="004F46FB"/>
    <w:rsid w:val="004F49B2"/>
    <w:rsid w:val="004F53B2"/>
    <w:rsid w:val="004F7190"/>
    <w:rsid w:val="00500C2E"/>
    <w:rsid w:val="00500E00"/>
    <w:rsid w:val="00501E98"/>
    <w:rsid w:val="0050213D"/>
    <w:rsid w:val="005027DC"/>
    <w:rsid w:val="0050299B"/>
    <w:rsid w:val="00504754"/>
    <w:rsid w:val="00506EB9"/>
    <w:rsid w:val="005070CF"/>
    <w:rsid w:val="00510AC4"/>
    <w:rsid w:val="00510DD5"/>
    <w:rsid w:val="005114BA"/>
    <w:rsid w:val="005116BA"/>
    <w:rsid w:val="00512E9C"/>
    <w:rsid w:val="00513233"/>
    <w:rsid w:val="005143C7"/>
    <w:rsid w:val="00517571"/>
    <w:rsid w:val="00517A51"/>
    <w:rsid w:val="00520016"/>
    <w:rsid w:val="00520169"/>
    <w:rsid w:val="0052163D"/>
    <w:rsid w:val="00521720"/>
    <w:rsid w:val="005219CB"/>
    <w:rsid w:val="00522748"/>
    <w:rsid w:val="005229CD"/>
    <w:rsid w:val="00522CE7"/>
    <w:rsid w:val="00523787"/>
    <w:rsid w:val="00523F97"/>
    <w:rsid w:val="00525B26"/>
    <w:rsid w:val="00526003"/>
    <w:rsid w:val="00527507"/>
    <w:rsid w:val="0053042D"/>
    <w:rsid w:val="00530DC9"/>
    <w:rsid w:val="0053118D"/>
    <w:rsid w:val="00531669"/>
    <w:rsid w:val="0053213B"/>
    <w:rsid w:val="005331BC"/>
    <w:rsid w:val="005345C3"/>
    <w:rsid w:val="00535503"/>
    <w:rsid w:val="00535A88"/>
    <w:rsid w:val="005360AD"/>
    <w:rsid w:val="00536A8F"/>
    <w:rsid w:val="00540890"/>
    <w:rsid w:val="005420A2"/>
    <w:rsid w:val="00542C03"/>
    <w:rsid w:val="005431FB"/>
    <w:rsid w:val="005432E9"/>
    <w:rsid w:val="00543A0C"/>
    <w:rsid w:val="0054421F"/>
    <w:rsid w:val="00544523"/>
    <w:rsid w:val="00544778"/>
    <w:rsid w:val="00544B71"/>
    <w:rsid w:val="00544C77"/>
    <w:rsid w:val="00544F35"/>
    <w:rsid w:val="00545F29"/>
    <w:rsid w:val="00546575"/>
    <w:rsid w:val="00546B5D"/>
    <w:rsid w:val="00546DF1"/>
    <w:rsid w:val="00546DF4"/>
    <w:rsid w:val="005477A0"/>
    <w:rsid w:val="00547E6E"/>
    <w:rsid w:val="005525B5"/>
    <w:rsid w:val="00554064"/>
    <w:rsid w:val="0055501C"/>
    <w:rsid w:val="00555295"/>
    <w:rsid w:val="005553EC"/>
    <w:rsid w:val="00555803"/>
    <w:rsid w:val="00556087"/>
    <w:rsid w:val="005568AC"/>
    <w:rsid w:val="005568F9"/>
    <w:rsid w:val="00556F06"/>
    <w:rsid w:val="00560016"/>
    <w:rsid w:val="0056048B"/>
    <w:rsid w:val="00560650"/>
    <w:rsid w:val="00560A67"/>
    <w:rsid w:val="00560B63"/>
    <w:rsid w:val="00561480"/>
    <w:rsid w:val="00561D0F"/>
    <w:rsid w:val="00562306"/>
    <w:rsid w:val="00562889"/>
    <w:rsid w:val="005633E0"/>
    <w:rsid w:val="005656BB"/>
    <w:rsid w:val="00565BC1"/>
    <w:rsid w:val="00565F15"/>
    <w:rsid w:val="0056634B"/>
    <w:rsid w:val="005663ED"/>
    <w:rsid w:val="00567BBD"/>
    <w:rsid w:val="00567EBE"/>
    <w:rsid w:val="00570CD1"/>
    <w:rsid w:val="005719CF"/>
    <w:rsid w:val="00571F4B"/>
    <w:rsid w:val="00573AFD"/>
    <w:rsid w:val="00573F86"/>
    <w:rsid w:val="00574210"/>
    <w:rsid w:val="00574DB8"/>
    <w:rsid w:val="00574FF4"/>
    <w:rsid w:val="00575240"/>
    <w:rsid w:val="00576565"/>
    <w:rsid w:val="005775EB"/>
    <w:rsid w:val="005777DF"/>
    <w:rsid w:val="00577856"/>
    <w:rsid w:val="005778BA"/>
    <w:rsid w:val="005778C3"/>
    <w:rsid w:val="00577ACC"/>
    <w:rsid w:val="00577F00"/>
    <w:rsid w:val="005801BD"/>
    <w:rsid w:val="005802E9"/>
    <w:rsid w:val="00581592"/>
    <w:rsid w:val="005818BA"/>
    <w:rsid w:val="005825AF"/>
    <w:rsid w:val="00582CE5"/>
    <w:rsid w:val="00582D3E"/>
    <w:rsid w:val="00583CBD"/>
    <w:rsid w:val="00585C5F"/>
    <w:rsid w:val="00585C79"/>
    <w:rsid w:val="00586004"/>
    <w:rsid w:val="00587E62"/>
    <w:rsid w:val="00591646"/>
    <w:rsid w:val="0059166E"/>
    <w:rsid w:val="00591DFC"/>
    <w:rsid w:val="00592121"/>
    <w:rsid w:val="00592490"/>
    <w:rsid w:val="00592BA5"/>
    <w:rsid w:val="0059311D"/>
    <w:rsid w:val="00593189"/>
    <w:rsid w:val="00594843"/>
    <w:rsid w:val="00594AAB"/>
    <w:rsid w:val="0059516D"/>
    <w:rsid w:val="005955FE"/>
    <w:rsid w:val="0059657E"/>
    <w:rsid w:val="00596ECA"/>
    <w:rsid w:val="005A0368"/>
    <w:rsid w:val="005A07C6"/>
    <w:rsid w:val="005A1524"/>
    <w:rsid w:val="005A192E"/>
    <w:rsid w:val="005A47DB"/>
    <w:rsid w:val="005A505A"/>
    <w:rsid w:val="005A56C8"/>
    <w:rsid w:val="005A5935"/>
    <w:rsid w:val="005A6B23"/>
    <w:rsid w:val="005A6DDB"/>
    <w:rsid w:val="005A74DD"/>
    <w:rsid w:val="005B018F"/>
    <w:rsid w:val="005B024A"/>
    <w:rsid w:val="005B0C22"/>
    <w:rsid w:val="005B0EA7"/>
    <w:rsid w:val="005B0EFE"/>
    <w:rsid w:val="005B13D1"/>
    <w:rsid w:val="005B1809"/>
    <w:rsid w:val="005B19C5"/>
    <w:rsid w:val="005B2114"/>
    <w:rsid w:val="005B281B"/>
    <w:rsid w:val="005B3017"/>
    <w:rsid w:val="005B42F7"/>
    <w:rsid w:val="005B4A17"/>
    <w:rsid w:val="005B59B6"/>
    <w:rsid w:val="005B5A93"/>
    <w:rsid w:val="005B5BB2"/>
    <w:rsid w:val="005B5CB7"/>
    <w:rsid w:val="005B5E81"/>
    <w:rsid w:val="005B6164"/>
    <w:rsid w:val="005B6516"/>
    <w:rsid w:val="005C0126"/>
    <w:rsid w:val="005C026D"/>
    <w:rsid w:val="005C0635"/>
    <w:rsid w:val="005C090B"/>
    <w:rsid w:val="005C093E"/>
    <w:rsid w:val="005C09DD"/>
    <w:rsid w:val="005C10BD"/>
    <w:rsid w:val="005C1BD4"/>
    <w:rsid w:val="005C2ED8"/>
    <w:rsid w:val="005C314A"/>
    <w:rsid w:val="005C3209"/>
    <w:rsid w:val="005C3BC4"/>
    <w:rsid w:val="005C3CFC"/>
    <w:rsid w:val="005C4B3C"/>
    <w:rsid w:val="005C4FC7"/>
    <w:rsid w:val="005C5B71"/>
    <w:rsid w:val="005C6479"/>
    <w:rsid w:val="005C71B7"/>
    <w:rsid w:val="005C77A0"/>
    <w:rsid w:val="005C7D15"/>
    <w:rsid w:val="005D07E4"/>
    <w:rsid w:val="005D1E22"/>
    <w:rsid w:val="005D1E3C"/>
    <w:rsid w:val="005D2181"/>
    <w:rsid w:val="005D2D37"/>
    <w:rsid w:val="005D39FA"/>
    <w:rsid w:val="005D3F38"/>
    <w:rsid w:val="005D450D"/>
    <w:rsid w:val="005D6687"/>
    <w:rsid w:val="005D7007"/>
    <w:rsid w:val="005D7294"/>
    <w:rsid w:val="005D7DFD"/>
    <w:rsid w:val="005D7FA3"/>
    <w:rsid w:val="005E04E4"/>
    <w:rsid w:val="005E0E64"/>
    <w:rsid w:val="005E3815"/>
    <w:rsid w:val="005E3E07"/>
    <w:rsid w:val="005E419C"/>
    <w:rsid w:val="005E45B9"/>
    <w:rsid w:val="005E468B"/>
    <w:rsid w:val="005E4D50"/>
    <w:rsid w:val="005E5247"/>
    <w:rsid w:val="005E6F77"/>
    <w:rsid w:val="005E6FDF"/>
    <w:rsid w:val="005E739C"/>
    <w:rsid w:val="005E7617"/>
    <w:rsid w:val="005F091B"/>
    <w:rsid w:val="005F0A90"/>
    <w:rsid w:val="005F0E61"/>
    <w:rsid w:val="005F1652"/>
    <w:rsid w:val="005F31DD"/>
    <w:rsid w:val="005F36DB"/>
    <w:rsid w:val="005F391B"/>
    <w:rsid w:val="005F3B73"/>
    <w:rsid w:val="005F3EE8"/>
    <w:rsid w:val="005F41CA"/>
    <w:rsid w:val="005F7C0A"/>
    <w:rsid w:val="005F7D19"/>
    <w:rsid w:val="005F7F31"/>
    <w:rsid w:val="00601A13"/>
    <w:rsid w:val="0060242D"/>
    <w:rsid w:val="006025F5"/>
    <w:rsid w:val="00603817"/>
    <w:rsid w:val="00603FD7"/>
    <w:rsid w:val="0060410F"/>
    <w:rsid w:val="00604C79"/>
    <w:rsid w:val="0060564A"/>
    <w:rsid w:val="00605AE0"/>
    <w:rsid w:val="0061013E"/>
    <w:rsid w:val="00612417"/>
    <w:rsid w:val="0061271C"/>
    <w:rsid w:val="00612970"/>
    <w:rsid w:val="00612AE7"/>
    <w:rsid w:val="00613467"/>
    <w:rsid w:val="00613BE2"/>
    <w:rsid w:val="00614F4F"/>
    <w:rsid w:val="006155A1"/>
    <w:rsid w:val="00615824"/>
    <w:rsid w:val="00616028"/>
    <w:rsid w:val="006162AC"/>
    <w:rsid w:val="00616BF6"/>
    <w:rsid w:val="00616D8A"/>
    <w:rsid w:val="00616F91"/>
    <w:rsid w:val="006171E5"/>
    <w:rsid w:val="00617768"/>
    <w:rsid w:val="00617FF0"/>
    <w:rsid w:val="006203CC"/>
    <w:rsid w:val="0062075B"/>
    <w:rsid w:val="00622F14"/>
    <w:rsid w:val="0062393A"/>
    <w:rsid w:val="00624774"/>
    <w:rsid w:val="00624847"/>
    <w:rsid w:val="00624B01"/>
    <w:rsid w:val="00624DDA"/>
    <w:rsid w:val="006250C6"/>
    <w:rsid w:val="006258C4"/>
    <w:rsid w:val="00625F02"/>
    <w:rsid w:val="006261DD"/>
    <w:rsid w:val="00627702"/>
    <w:rsid w:val="0063180C"/>
    <w:rsid w:val="006326E7"/>
    <w:rsid w:val="006327A1"/>
    <w:rsid w:val="00632A77"/>
    <w:rsid w:val="00633B97"/>
    <w:rsid w:val="00633DAD"/>
    <w:rsid w:val="00633DBE"/>
    <w:rsid w:val="00634B67"/>
    <w:rsid w:val="00634C1A"/>
    <w:rsid w:val="00635359"/>
    <w:rsid w:val="00635CC3"/>
    <w:rsid w:val="00635DE1"/>
    <w:rsid w:val="00635F1E"/>
    <w:rsid w:val="0063663B"/>
    <w:rsid w:val="00637135"/>
    <w:rsid w:val="0063734F"/>
    <w:rsid w:val="00637AB9"/>
    <w:rsid w:val="00637D32"/>
    <w:rsid w:val="00640E96"/>
    <w:rsid w:val="00641369"/>
    <w:rsid w:val="00641579"/>
    <w:rsid w:val="00641FAB"/>
    <w:rsid w:val="006426D0"/>
    <w:rsid w:val="00642E6F"/>
    <w:rsid w:val="006430D0"/>
    <w:rsid w:val="0064410C"/>
    <w:rsid w:val="0064480D"/>
    <w:rsid w:val="0064687B"/>
    <w:rsid w:val="00646A26"/>
    <w:rsid w:val="00646AB6"/>
    <w:rsid w:val="00646C0D"/>
    <w:rsid w:val="00646DF3"/>
    <w:rsid w:val="00646FB7"/>
    <w:rsid w:val="006476FB"/>
    <w:rsid w:val="00647961"/>
    <w:rsid w:val="00650C1F"/>
    <w:rsid w:val="00650E81"/>
    <w:rsid w:val="00651180"/>
    <w:rsid w:val="006513C3"/>
    <w:rsid w:val="00651B51"/>
    <w:rsid w:val="006525EB"/>
    <w:rsid w:val="00652D96"/>
    <w:rsid w:val="006541A1"/>
    <w:rsid w:val="006544D4"/>
    <w:rsid w:val="0065656E"/>
    <w:rsid w:val="006571CC"/>
    <w:rsid w:val="00661575"/>
    <w:rsid w:val="00661712"/>
    <w:rsid w:val="00661A45"/>
    <w:rsid w:val="00661F89"/>
    <w:rsid w:val="006627BF"/>
    <w:rsid w:val="00663242"/>
    <w:rsid w:val="006636B0"/>
    <w:rsid w:val="00664476"/>
    <w:rsid w:val="00665D2B"/>
    <w:rsid w:val="00666939"/>
    <w:rsid w:val="00666CEF"/>
    <w:rsid w:val="00667072"/>
    <w:rsid w:val="00667120"/>
    <w:rsid w:val="0066739A"/>
    <w:rsid w:val="0066742F"/>
    <w:rsid w:val="0066786D"/>
    <w:rsid w:val="0067068A"/>
    <w:rsid w:val="00670DC4"/>
    <w:rsid w:val="00673270"/>
    <w:rsid w:val="00673471"/>
    <w:rsid w:val="00675037"/>
    <w:rsid w:val="006761A0"/>
    <w:rsid w:val="00676ECA"/>
    <w:rsid w:val="00677479"/>
    <w:rsid w:val="00677A3F"/>
    <w:rsid w:val="00677A8C"/>
    <w:rsid w:val="00680E69"/>
    <w:rsid w:val="00681A73"/>
    <w:rsid w:val="00681D46"/>
    <w:rsid w:val="00682618"/>
    <w:rsid w:val="006826E4"/>
    <w:rsid w:val="00682B18"/>
    <w:rsid w:val="00683B3B"/>
    <w:rsid w:val="00683D43"/>
    <w:rsid w:val="006840D2"/>
    <w:rsid w:val="00684A5E"/>
    <w:rsid w:val="00684A77"/>
    <w:rsid w:val="00686C9C"/>
    <w:rsid w:val="0068721D"/>
    <w:rsid w:val="0069058B"/>
    <w:rsid w:val="006919B1"/>
    <w:rsid w:val="00693597"/>
    <w:rsid w:val="006936EB"/>
    <w:rsid w:val="006939F2"/>
    <w:rsid w:val="00693EF8"/>
    <w:rsid w:val="0069403F"/>
    <w:rsid w:val="006949F9"/>
    <w:rsid w:val="00694B92"/>
    <w:rsid w:val="0069517E"/>
    <w:rsid w:val="006962CD"/>
    <w:rsid w:val="00696C0C"/>
    <w:rsid w:val="00696F55"/>
    <w:rsid w:val="00697AE9"/>
    <w:rsid w:val="00697E0F"/>
    <w:rsid w:val="006A0AF4"/>
    <w:rsid w:val="006A0C0A"/>
    <w:rsid w:val="006A17BD"/>
    <w:rsid w:val="006A1889"/>
    <w:rsid w:val="006A3C53"/>
    <w:rsid w:val="006A458E"/>
    <w:rsid w:val="006A68CD"/>
    <w:rsid w:val="006A74D0"/>
    <w:rsid w:val="006B04F3"/>
    <w:rsid w:val="006B0CEF"/>
    <w:rsid w:val="006B1775"/>
    <w:rsid w:val="006B1ADF"/>
    <w:rsid w:val="006B1BC5"/>
    <w:rsid w:val="006B220C"/>
    <w:rsid w:val="006B27EB"/>
    <w:rsid w:val="006B3FF2"/>
    <w:rsid w:val="006B47DE"/>
    <w:rsid w:val="006B5A23"/>
    <w:rsid w:val="006B5E77"/>
    <w:rsid w:val="006B66D1"/>
    <w:rsid w:val="006B705F"/>
    <w:rsid w:val="006B7FAB"/>
    <w:rsid w:val="006C0361"/>
    <w:rsid w:val="006C09ED"/>
    <w:rsid w:val="006C174B"/>
    <w:rsid w:val="006C2BDD"/>
    <w:rsid w:val="006C3A07"/>
    <w:rsid w:val="006C4224"/>
    <w:rsid w:val="006C5395"/>
    <w:rsid w:val="006C58EC"/>
    <w:rsid w:val="006C750A"/>
    <w:rsid w:val="006D059D"/>
    <w:rsid w:val="006D1256"/>
    <w:rsid w:val="006D171B"/>
    <w:rsid w:val="006D1A0E"/>
    <w:rsid w:val="006D2C9F"/>
    <w:rsid w:val="006D2CC2"/>
    <w:rsid w:val="006D37D1"/>
    <w:rsid w:val="006D3BB5"/>
    <w:rsid w:val="006D3E2A"/>
    <w:rsid w:val="006D475E"/>
    <w:rsid w:val="006D4760"/>
    <w:rsid w:val="006D775D"/>
    <w:rsid w:val="006E23B7"/>
    <w:rsid w:val="006E2742"/>
    <w:rsid w:val="006E2F3C"/>
    <w:rsid w:val="006E3721"/>
    <w:rsid w:val="006E3C9D"/>
    <w:rsid w:val="006E49AD"/>
    <w:rsid w:val="006E558D"/>
    <w:rsid w:val="006E5A3A"/>
    <w:rsid w:val="006E5C54"/>
    <w:rsid w:val="006E6753"/>
    <w:rsid w:val="006F05DD"/>
    <w:rsid w:val="006F13C0"/>
    <w:rsid w:val="006F2FA3"/>
    <w:rsid w:val="006F441B"/>
    <w:rsid w:val="006F4E9F"/>
    <w:rsid w:val="006F58E5"/>
    <w:rsid w:val="006F5AE7"/>
    <w:rsid w:val="006F69B6"/>
    <w:rsid w:val="006F6E8A"/>
    <w:rsid w:val="006F7127"/>
    <w:rsid w:val="0070006A"/>
    <w:rsid w:val="00701E76"/>
    <w:rsid w:val="00702FE4"/>
    <w:rsid w:val="007030E5"/>
    <w:rsid w:val="007032D6"/>
    <w:rsid w:val="007037E0"/>
    <w:rsid w:val="00703903"/>
    <w:rsid w:val="0070441B"/>
    <w:rsid w:val="00704473"/>
    <w:rsid w:val="00704B6B"/>
    <w:rsid w:val="007057CE"/>
    <w:rsid w:val="00705927"/>
    <w:rsid w:val="007076AC"/>
    <w:rsid w:val="00707B17"/>
    <w:rsid w:val="00707E62"/>
    <w:rsid w:val="00711C26"/>
    <w:rsid w:val="00712312"/>
    <w:rsid w:val="00712F9D"/>
    <w:rsid w:val="007130C6"/>
    <w:rsid w:val="007132EF"/>
    <w:rsid w:val="00713B2F"/>
    <w:rsid w:val="00713B7B"/>
    <w:rsid w:val="00714DFE"/>
    <w:rsid w:val="007150D2"/>
    <w:rsid w:val="00720588"/>
    <w:rsid w:val="00720C2D"/>
    <w:rsid w:val="007215C3"/>
    <w:rsid w:val="00721B3F"/>
    <w:rsid w:val="00722AA1"/>
    <w:rsid w:val="007236E6"/>
    <w:rsid w:val="00723A59"/>
    <w:rsid w:val="0072403C"/>
    <w:rsid w:val="00724940"/>
    <w:rsid w:val="00724A4E"/>
    <w:rsid w:val="00725F04"/>
    <w:rsid w:val="0073021A"/>
    <w:rsid w:val="007304F7"/>
    <w:rsid w:val="007305E6"/>
    <w:rsid w:val="00731047"/>
    <w:rsid w:val="007329D7"/>
    <w:rsid w:val="0073353A"/>
    <w:rsid w:val="00734624"/>
    <w:rsid w:val="0073538B"/>
    <w:rsid w:val="007373CB"/>
    <w:rsid w:val="007375BE"/>
    <w:rsid w:val="007376A9"/>
    <w:rsid w:val="00740175"/>
    <w:rsid w:val="00740C39"/>
    <w:rsid w:val="00740D17"/>
    <w:rsid w:val="007411D4"/>
    <w:rsid w:val="00741668"/>
    <w:rsid w:val="007416BD"/>
    <w:rsid w:val="007417EB"/>
    <w:rsid w:val="007423A3"/>
    <w:rsid w:val="00742F82"/>
    <w:rsid w:val="00743238"/>
    <w:rsid w:val="00743333"/>
    <w:rsid w:val="00743A87"/>
    <w:rsid w:val="00743B14"/>
    <w:rsid w:val="00744646"/>
    <w:rsid w:val="007451A4"/>
    <w:rsid w:val="0074531C"/>
    <w:rsid w:val="00745348"/>
    <w:rsid w:val="00746528"/>
    <w:rsid w:val="00746B59"/>
    <w:rsid w:val="00746D1A"/>
    <w:rsid w:val="00746E60"/>
    <w:rsid w:val="00747374"/>
    <w:rsid w:val="007503B5"/>
    <w:rsid w:val="007509AE"/>
    <w:rsid w:val="0075121D"/>
    <w:rsid w:val="00752A26"/>
    <w:rsid w:val="0075335C"/>
    <w:rsid w:val="00753F9C"/>
    <w:rsid w:val="007541BF"/>
    <w:rsid w:val="00754679"/>
    <w:rsid w:val="00754DE9"/>
    <w:rsid w:val="00755155"/>
    <w:rsid w:val="007551D3"/>
    <w:rsid w:val="00755A8B"/>
    <w:rsid w:val="00755EAB"/>
    <w:rsid w:val="007570EA"/>
    <w:rsid w:val="007572C9"/>
    <w:rsid w:val="00760380"/>
    <w:rsid w:val="00760613"/>
    <w:rsid w:val="00760986"/>
    <w:rsid w:val="00760F34"/>
    <w:rsid w:val="007615EA"/>
    <w:rsid w:val="007617E9"/>
    <w:rsid w:val="007619E8"/>
    <w:rsid w:val="00761DBA"/>
    <w:rsid w:val="007623D4"/>
    <w:rsid w:val="00762540"/>
    <w:rsid w:val="0076275A"/>
    <w:rsid w:val="00762911"/>
    <w:rsid w:val="0076316B"/>
    <w:rsid w:val="007643AC"/>
    <w:rsid w:val="007660B0"/>
    <w:rsid w:val="00766680"/>
    <w:rsid w:val="00766B59"/>
    <w:rsid w:val="00766B69"/>
    <w:rsid w:val="00767578"/>
    <w:rsid w:val="00767AE3"/>
    <w:rsid w:val="0077004B"/>
    <w:rsid w:val="007708A7"/>
    <w:rsid w:val="0077124F"/>
    <w:rsid w:val="007712D9"/>
    <w:rsid w:val="00771F30"/>
    <w:rsid w:val="0077241F"/>
    <w:rsid w:val="0077306C"/>
    <w:rsid w:val="0077342A"/>
    <w:rsid w:val="00773595"/>
    <w:rsid w:val="00773D5A"/>
    <w:rsid w:val="0077425B"/>
    <w:rsid w:val="00775252"/>
    <w:rsid w:val="00776387"/>
    <w:rsid w:val="00776417"/>
    <w:rsid w:val="00776DF0"/>
    <w:rsid w:val="007776E2"/>
    <w:rsid w:val="007803D9"/>
    <w:rsid w:val="00781B9F"/>
    <w:rsid w:val="00781E73"/>
    <w:rsid w:val="007823DA"/>
    <w:rsid w:val="00784270"/>
    <w:rsid w:val="00784545"/>
    <w:rsid w:val="007846C3"/>
    <w:rsid w:val="0078548B"/>
    <w:rsid w:val="00785F4C"/>
    <w:rsid w:val="00786107"/>
    <w:rsid w:val="00786305"/>
    <w:rsid w:val="00787363"/>
    <w:rsid w:val="00787670"/>
    <w:rsid w:val="0078774D"/>
    <w:rsid w:val="00787DA2"/>
    <w:rsid w:val="007901A3"/>
    <w:rsid w:val="00790265"/>
    <w:rsid w:val="0079045B"/>
    <w:rsid w:val="00790FDC"/>
    <w:rsid w:val="00791F3B"/>
    <w:rsid w:val="00792737"/>
    <w:rsid w:val="007934A6"/>
    <w:rsid w:val="0079415F"/>
    <w:rsid w:val="00794EE1"/>
    <w:rsid w:val="00795C33"/>
    <w:rsid w:val="00795F93"/>
    <w:rsid w:val="007968D1"/>
    <w:rsid w:val="007975A6"/>
    <w:rsid w:val="007A0F1A"/>
    <w:rsid w:val="007A0F72"/>
    <w:rsid w:val="007A1C0C"/>
    <w:rsid w:val="007A3149"/>
    <w:rsid w:val="007A3A04"/>
    <w:rsid w:val="007A42E8"/>
    <w:rsid w:val="007A657A"/>
    <w:rsid w:val="007A6EB3"/>
    <w:rsid w:val="007A716B"/>
    <w:rsid w:val="007A7BCA"/>
    <w:rsid w:val="007B0361"/>
    <w:rsid w:val="007B05D9"/>
    <w:rsid w:val="007B1315"/>
    <w:rsid w:val="007B15B5"/>
    <w:rsid w:val="007B27D4"/>
    <w:rsid w:val="007B491D"/>
    <w:rsid w:val="007B7D18"/>
    <w:rsid w:val="007C029A"/>
    <w:rsid w:val="007C0862"/>
    <w:rsid w:val="007C0C16"/>
    <w:rsid w:val="007C10B7"/>
    <w:rsid w:val="007C19A9"/>
    <w:rsid w:val="007C1D54"/>
    <w:rsid w:val="007C2D4A"/>
    <w:rsid w:val="007C464D"/>
    <w:rsid w:val="007C5847"/>
    <w:rsid w:val="007C6514"/>
    <w:rsid w:val="007C6891"/>
    <w:rsid w:val="007C6D59"/>
    <w:rsid w:val="007C6D83"/>
    <w:rsid w:val="007D2FD5"/>
    <w:rsid w:val="007D40E0"/>
    <w:rsid w:val="007D4458"/>
    <w:rsid w:val="007D4533"/>
    <w:rsid w:val="007D60C1"/>
    <w:rsid w:val="007D73A8"/>
    <w:rsid w:val="007D75A3"/>
    <w:rsid w:val="007E0452"/>
    <w:rsid w:val="007E2443"/>
    <w:rsid w:val="007E2951"/>
    <w:rsid w:val="007E2B0D"/>
    <w:rsid w:val="007E37E0"/>
    <w:rsid w:val="007E3A22"/>
    <w:rsid w:val="007E4376"/>
    <w:rsid w:val="007E4397"/>
    <w:rsid w:val="007E4B16"/>
    <w:rsid w:val="007E4D88"/>
    <w:rsid w:val="007E4FB1"/>
    <w:rsid w:val="007E5596"/>
    <w:rsid w:val="007E571C"/>
    <w:rsid w:val="007E5D28"/>
    <w:rsid w:val="007E6CE6"/>
    <w:rsid w:val="007E7444"/>
    <w:rsid w:val="007E7B44"/>
    <w:rsid w:val="007E7C11"/>
    <w:rsid w:val="007F03E8"/>
    <w:rsid w:val="007F0A50"/>
    <w:rsid w:val="007F2778"/>
    <w:rsid w:val="007F2E31"/>
    <w:rsid w:val="007F374F"/>
    <w:rsid w:val="007F4005"/>
    <w:rsid w:val="007F408D"/>
    <w:rsid w:val="007F4967"/>
    <w:rsid w:val="007F56C9"/>
    <w:rsid w:val="007F5FB5"/>
    <w:rsid w:val="007F648E"/>
    <w:rsid w:val="007F671E"/>
    <w:rsid w:val="007F6951"/>
    <w:rsid w:val="007F7924"/>
    <w:rsid w:val="007F7F19"/>
    <w:rsid w:val="008003C7"/>
    <w:rsid w:val="00801035"/>
    <w:rsid w:val="00801C06"/>
    <w:rsid w:val="00801D27"/>
    <w:rsid w:val="00802A6E"/>
    <w:rsid w:val="00802B08"/>
    <w:rsid w:val="008033D0"/>
    <w:rsid w:val="008043EB"/>
    <w:rsid w:val="00804856"/>
    <w:rsid w:val="008048A1"/>
    <w:rsid w:val="00805428"/>
    <w:rsid w:val="008108B6"/>
    <w:rsid w:val="00810B6F"/>
    <w:rsid w:val="00811F21"/>
    <w:rsid w:val="0081232A"/>
    <w:rsid w:val="00812616"/>
    <w:rsid w:val="0081269C"/>
    <w:rsid w:val="00812E01"/>
    <w:rsid w:val="008143BC"/>
    <w:rsid w:val="008160E9"/>
    <w:rsid w:val="0081715B"/>
    <w:rsid w:val="00817525"/>
    <w:rsid w:val="00817876"/>
    <w:rsid w:val="00817A2E"/>
    <w:rsid w:val="00817F75"/>
    <w:rsid w:val="00820E73"/>
    <w:rsid w:val="00821282"/>
    <w:rsid w:val="00821F3E"/>
    <w:rsid w:val="00822A78"/>
    <w:rsid w:val="00822C4D"/>
    <w:rsid w:val="0082366C"/>
    <w:rsid w:val="008244B1"/>
    <w:rsid w:val="00824B26"/>
    <w:rsid w:val="008257D9"/>
    <w:rsid w:val="00825904"/>
    <w:rsid w:val="00825A36"/>
    <w:rsid w:val="00825B5E"/>
    <w:rsid w:val="00826D54"/>
    <w:rsid w:val="00827A2D"/>
    <w:rsid w:val="0083041C"/>
    <w:rsid w:val="0083079C"/>
    <w:rsid w:val="008316DD"/>
    <w:rsid w:val="00835579"/>
    <w:rsid w:val="008357B7"/>
    <w:rsid w:val="00835916"/>
    <w:rsid w:val="00835949"/>
    <w:rsid w:val="00835F3B"/>
    <w:rsid w:val="00836AA9"/>
    <w:rsid w:val="00836E02"/>
    <w:rsid w:val="008370A6"/>
    <w:rsid w:val="00837DE4"/>
    <w:rsid w:val="00837E9D"/>
    <w:rsid w:val="008406E6"/>
    <w:rsid w:val="00841038"/>
    <w:rsid w:val="00841E29"/>
    <w:rsid w:val="0084316C"/>
    <w:rsid w:val="00845B50"/>
    <w:rsid w:val="00845C06"/>
    <w:rsid w:val="00845EE7"/>
    <w:rsid w:val="008461C3"/>
    <w:rsid w:val="00846B4C"/>
    <w:rsid w:val="00850375"/>
    <w:rsid w:val="00850948"/>
    <w:rsid w:val="00850D55"/>
    <w:rsid w:val="00850F47"/>
    <w:rsid w:val="00851616"/>
    <w:rsid w:val="00851708"/>
    <w:rsid w:val="00851A4F"/>
    <w:rsid w:val="00852F3C"/>
    <w:rsid w:val="008536C9"/>
    <w:rsid w:val="00853B44"/>
    <w:rsid w:val="00853E31"/>
    <w:rsid w:val="00856316"/>
    <w:rsid w:val="008604EB"/>
    <w:rsid w:val="00860BC1"/>
    <w:rsid w:val="00861771"/>
    <w:rsid w:val="00862281"/>
    <w:rsid w:val="00863445"/>
    <w:rsid w:val="00863C4A"/>
    <w:rsid w:val="00863E45"/>
    <w:rsid w:val="008647AE"/>
    <w:rsid w:val="00864D43"/>
    <w:rsid w:val="00865499"/>
    <w:rsid w:val="00865E24"/>
    <w:rsid w:val="00866021"/>
    <w:rsid w:val="008662B4"/>
    <w:rsid w:val="00866371"/>
    <w:rsid w:val="0086762E"/>
    <w:rsid w:val="00867BBB"/>
    <w:rsid w:val="00867BFD"/>
    <w:rsid w:val="00867D37"/>
    <w:rsid w:val="0087046E"/>
    <w:rsid w:val="00870DA7"/>
    <w:rsid w:val="008714F6"/>
    <w:rsid w:val="00871531"/>
    <w:rsid w:val="00874361"/>
    <w:rsid w:val="0087450E"/>
    <w:rsid w:val="00874D14"/>
    <w:rsid w:val="00875944"/>
    <w:rsid w:val="008813F1"/>
    <w:rsid w:val="00882190"/>
    <w:rsid w:val="00882C0A"/>
    <w:rsid w:val="008834FB"/>
    <w:rsid w:val="00883D51"/>
    <w:rsid w:val="008850C4"/>
    <w:rsid w:val="008854B9"/>
    <w:rsid w:val="008854F8"/>
    <w:rsid w:val="00885C77"/>
    <w:rsid w:val="00885DF3"/>
    <w:rsid w:val="008860EF"/>
    <w:rsid w:val="00886A0D"/>
    <w:rsid w:val="00886A87"/>
    <w:rsid w:val="00890077"/>
    <w:rsid w:val="00890632"/>
    <w:rsid w:val="00890640"/>
    <w:rsid w:val="0089106B"/>
    <w:rsid w:val="00892255"/>
    <w:rsid w:val="0089354D"/>
    <w:rsid w:val="0089378C"/>
    <w:rsid w:val="0089537B"/>
    <w:rsid w:val="00895782"/>
    <w:rsid w:val="0089689A"/>
    <w:rsid w:val="008A1455"/>
    <w:rsid w:val="008A15FF"/>
    <w:rsid w:val="008A19CD"/>
    <w:rsid w:val="008A1A16"/>
    <w:rsid w:val="008A31AF"/>
    <w:rsid w:val="008A3316"/>
    <w:rsid w:val="008A3B4B"/>
    <w:rsid w:val="008A3F71"/>
    <w:rsid w:val="008A4DB4"/>
    <w:rsid w:val="008A5942"/>
    <w:rsid w:val="008A6AEF"/>
    <w:rsid w:val="008A6D98"/>
    <w:rsid w:val="008A701D"/>
    <w:rsid w:val="008A740D"/>
    <w:rsid w:val="008A7449"/>
    <w:rsid w:val="008B2CD1"/>
    <w:rsid w:val="008B3C5C"/>
    <w:rsid w:val="008B3E60"/>
    <w:rsid w:val="008B3EDA"/>
    <w:rsid w:val="008B4B2C"/>
    <w:rsid w:val="008B67D7"/>
    <w:rsid w:val="008B70E4"/>
    <w:rsid w:val="008B7553"/>
    <w:rsid w:val="008B7A74"/>
    <w:rsid w:val="008B7B09"/>
    <w:rsid w:val="008B7B93"/>
    <w:rsid w:val="008B7DB4"/>
    <w:rsid w:val="008C0103"/>
    <w:rsid w:val="008C0F05"/>
    <w:rsid w:val="008C15D8"/>
    <w:rsid w:val="008C17DF"/>
    <w:rsid w:val="008C3580"/>
    <w:rsid w:val="008C4436"/>
    <w:rsid w:val="008C4472"/>
    <w:rsid w:val="008C4963"/>
    <w:rsid w:val="008C4E45"/>
    <w:rsid w:val="008C5463"/>
    <w:rsid w:val="008C5536"/>
    <w:rsid w:val="008C59A1"/>
    <w:rsid w:val="008C60AA"/>
    <w:rsid w:val="008C61AD"/>
    <w:rsid w:val="008C6234"/>
    <w:rsid w:val="008C6475"/>
    <w:rsid w:val="008C670B"/>
    <w:rsid w:val="008C7456"/>
    <w:rsid w:val="008C7D69"/>
    <w:rsid w:val="008D0BEC"/>
    <w:rsid w:val="008D1651"/>
    <w:rsid w:val="008D305E"/>
    <w:rsid w:val="008D39BD"/>
    <w:rsid w:val="008D3E5F"/>
    <w:rsid w:val="008D4CAE"/>
    <w:rsid w:val="008D5E3E"/>
    <w:rsid w:val="008D644E"/>
    <w:rsid w:val="008D6BC1"/>
    <w:rsid w:val="008D6DA8"/>
    <w:rsid w:val="008D74D2"/>
    <w:rsid w:val="008E05EF"/>
    <w:rsid w:val="008E0A3E"/>
    <w:rsid w:val="008E0A73"/>
    <w:rsid w:val="008E0AA8"/>
    <w:rsid w:val="008E1FEC"/>
    <w:rsid w:val="008E35C7"/>
    <w:rsid w:val="008E3BBA"/>
    <w:rsid w:val="008E4A7A"/>
    <w:rsid w:val="008E5582"/>
    <w:rsid w:val="008E59CC"/>
    <w:rsid w:val="008E59FC"/>
    <w:rsid w:val="008E60B7"/>
    <w:rsid w:val="008E610F"/>
    <w:rsid w:val="008E6259"/>
    <w:rsid w:val="008E6586"/>
    <w:rsid w:val="008E6599"/>
    <w:rsid w:val="008E6662"/>
    <w:rsid w:val="008E674F"/>
    <w:rsid w:val="008E69D3"/>
    <w:rsid w:val="008E69D9"/>
    <w:rsid w:val="008E7EBE"/>
    <w:rsid w:val="008E7F6E"/>
    <w:rsid w:val="008F08C2"/>
    <w:rsid w:val="008F0B42"/>
    <w:rsid w:val="008F222C"/>
    <w:rsid w:val="008F2D99"/>
    <w:rsid w:val="008F45EC"/>
    <w:rsid w:val="008F5439"/>
    <w:rsid w:val="008F5FB4"/>
    <w:rsid w:val="008F71B0"/>
    <w:rsid w:val="008F7497"/>
    <w:rsid w:val="008F7891"/>
    <w:rsid w:val="008F7EFA"/>
    <w:rsid w:val="008F7F7B"/>
    <w:rsid w:val="00900103"/>
    <w:rsid w:val="0090015A"/>
    <w:rsid w:val="00900C35"/>
    <w:rsid w:val="009012BF"/>
    <w:rsid w:val="00901303"/>
    <w:rsid w:val="009018EB"/>
    <w:rsid w:val="009026A8"/>
    <w:rsid w:val="00902838"/>
    <w:rsid w:val="0090409D"/>
    <w:rsid w:val="0090451D"/>
    <w:rsid w:val="009045DD"/>
    <w:rsid w:val="00904A97"/>
    <w:rsid w:val="00904EA3"/>
    <w:rsid w:val="009051D3"/>
    <w:rsid w:val="00905802"/>
    <w:rsid w:val="00906B34"/>
    <w:rsid w:val="009071EA"/>
    <w:rsid w:val="00910B80"/>
    <w:rsid w:val="00911F74"/>
    <w:rsid w:val="00914554"/>
    <w:rsid w:val="00914C54"/>
    <w:rsid w:val="00915C3E"/>
    <w:rsid w:val="00916244"/>
    <w:rsid w:val="009166C5"/>
    <w:rsid w:val="00916C1F"/>
    <w:rsid w:val="00916F0D"/>
    <w:rsid w:val="00917EFE"/>
    <w:rsid w:val="00920313"/>
    <w:rsid w:val="00920DE6"/>
    <w:rsid w:val="00920E51"/>
    <w:rsid w:val="00920F08"/>
    <w:rsid w:val="00921FD4"/>
    <w:rsid w:val="0092231E"/>
    <w:rsid w:val="0092344E"/>
    <w:rsid w:val="00923D4D"/>
    <w:rsid w:val="00924AB2"/>
    <w:rsid w:val="00924E2B"/>
    <w:rsid w:val="009251C6"/>
    <w:rsid w:val="00926C79"/>
    <w:rsid w:val="0092713F"/>
    <w:rsid w:val="00927527"/>
    <w:rsid w:val="00927BA4"/>
    <w:rsid w:val="00927E83"/>
    <w:rsid w:val="00930C6A"/>
    <w:rsid w:val="009316EA"/>
    <w:rsid w:val="00932733"/>
    <w:rsid w:val="00933BD0"/>
    <w:rsid w:val="00933CDC"/>
    <w:rsid w:val="009341C3"/>
    <w:rsid w:val="00934D6E"/>
    <w:rsid w:val="009371B9"/>
    <w:rsid w:val="0093799B"/>
    <w:rsid w:val="00941048"/>
    <w:rsid w:val="009410F3"/>
    <w:rsid w:val="009412E6"/>
    <w:rsid w:val="0094149F"/>
    <w:rsid w:val="00941657"/>
    <w:rsid w:val="009418A5"/>
    <w:rsid w:val="00941B8E"/>
    <w:rsid w:val="0094236B"/>
    <w:rsid w:val="009439A3"/>
    <w:rsid w:val="00944819"/>
    <w:rsid w:val="0094496D"/>
    <w:rsid w:val="00944A79"/>
    <w:rsid w:val="00945D45"/>
    <w:rsid w:val="00945DAB"/>
    <w:rsid w:val="00946855"/>
    <w:rsid w:val="00950035"/>
    <w:rsid w:val="009508DE"/>
    <w:rsid w:val="00950B0C"/>
    <w:rsid w:val="0095198A"/>
    <w:rsid w:val="00951ACC"/>
    <w:rsid w:val="00951E78"/>
    <w:rsid w:val="00952053"/>
    <w:rsid w:val="0095231C"/>
    <w:rsid w:val="00952535"/>
    <w:rsid w:val="00952B69"/>
    <w:rsid w:val="00953E1B"/>
    <w:rsid w:val="00953ED2"/>
    <w:rsid w:val="0095554C"/>
    <w:rsid w:val="00955CA2"/>
    <w:rsid w:val="009570E3"/>
    <w:rsid w:val="00960519"/>
    <w:rsid w:val="00960CA3"/>
    <w:rsid w:val="00961C57"/>
    <w:rsid w:val="00961C60"/>
    <w:rsid w:val="00961F8B"/>
    <w:rsid w:val="00962147"/>
    <w:rsid w:val="009626B6"/>
    <w:rsid w:val="009643DA"/>
    <w:rsid w:val="00965660"/>
    <w:rsid w:val="00965EA5"/>
    <w:rsid w:val="00966679"/>
    <w:rsid w:val="00966918"/>
    <w:rsid w:val="00966DB0"/>
    <w:rsid w:val="00966EB8"/>
    <w:rsid w:val="00967769"/>
    <w:rsid w:val="00967D1B"/>
    <w:rsid w:val="009713E3"/>
    <w:rsid w:val="009727C4"/>
    <w:rsid w:val="00972EE0"/>
    <w:rsid w:val="0097323F"/>
    <w:rsid w:val="00973BA2"/>
    <w:rsid w:val="00974108"/>
    <w:rsid w:val="00974B92"/>
    <w:rsid w:val="009750A5"/>
    <w:rsid w:val="00975499"/>
    <w:rsid w:val="009757BF"/>
    <w:rsid w:val="00975E71"/>
    <w:rsid w:val="00976519"/>
    <w:rsid w:val="00976D1E"/>
    <w:rsid w:val="00976F3E"/>
    <w:rsid w:val="00976F5E"/>
    <w:rsid w:val="00977847"/>
    <w:rsid w:val="0098138A"/>
    <w:rsid w:val="00981E31"/>
    <w:rsid w:val="00982203"/>
    <w:rsid w:val="00983351"/>
    <w:rsid w:val="009849DC"/>
    <w:rsid w:val="00984C69"/>
    <w:rsid w:val="00984D45"/>
    <w:rsid w:val="0098540B"/>
    <w:rsid w:val="009866A0"/>
    <w:rsid w:val="0098688B"/>
    <w:rsid w:val="00987A7E"/>
    <w:rsid w:val="0099160E"/>
    <w:rsid w:val="00991FB3"/>
    <w:rsid w:val="00993598"/>
    <w:rsid w:val="00995102"/>
    <w:rsid w:val="00995240"/>
    <w:rsid w:val="009A14FF"/>
    <w:rsid w:val="009A166D"/>
    <w:rsid w:val="009A1967"/>
    <w:rsid w:val="009A44B2"/>
    <w:rsid w:val="009A4AD6"/>
    <w:rsid w:val="009A522A"/>
    <w:rsid w:val="009A6647"/>
    <w:rsid w:val="009A6CB3"/>
    <w:rsid w:val="009B06FB"/>
    <w:rsid w:val="009B09B1"/>
    <w:rsid w:val="009B0D7C"/>
    <w:rsid w:val="009B13AD"/>
    <w:rsid w:val="009B2E34"/>
    <w:rsid w:val="009B37B4"/>
    <w:rsid w:val="009B4B19"/>
    <w:rsid w:val="009B5158"/>
    <w:rsid w:val="009B6904"/>
    <w:rsid w:val="009B79D8"/>
    <w:rsid w:val="009C069C"/>
    <w:rsid w:val="009C1667"/>
    <w:rsid w:val="009C2FD7"/>
    <w:rsid w:val="009C3186"/>
    <w:rsid w:val="009C3BEA"/>
    <w:rsid w:val="009C3D60"/>
    <w:rsid w:val="009C43CD"/>
    <w:rsid w:val="009C573D"/>
    <w:rsid w:val="009C670C"/>
    <w:rsid w:val="009C6A72"/>
    <w:rsid w:val="009D01CB"/>
    <w:rsid w:val="009D02C2"/>
    <w:rsid w:val="009D0E29"/>
    <w:rsid w:val="009D1848"/>
    <w:rsid w:val="009D28CE"/>
    <w:rsid w:val="009D2B33"/>
    <w:rsid w:val="009D5C79"/>
    <w:rsid w:val="009D6A56"/>
    <w:rsid w:val="009D7C2D"/>
    <w:rsid w:val="009E014F"/>
    <w:rsid w:val="009E0DB6"/>
    <w:rsid w:val="009E1466"/>
    <w:rsid w:val="009E295C"/>
    <w:rsid w:val="009E2F4E"/>
    <w:rsid w:val="009E3401"/>
    <w:rsid w:val="009E3D04"/>
    <w:rsid w:val="009E5FF9"/>
    <w:rsid w:val="009E727E"/>
    <w:rsid w:val="009E7568"/>
    <w:rsid w:val="009E7F3E"/>
    <w:rsid w:val="009F0038"/>
    <w:rsid w:val="009F42DF"/>
    <w:rsid w:val="009F4D57"/>
    <w:rsid w:val="009F4EF0"/>
    <w:rsid w:val="009F5B64"/>
    <w:rsid w:val="009F5CB4"/>
    <w:rsid w:val="009F664A"/>
    <w:rsid w:val="00A0054F"/>
    <w:rsid w:val="00A0097A"/>
    <w:rsid w:val="00A0199A"/>
    <w:rsid w:val="00A02580"/>
    <w:rsid w:val="00A02731"/>
    <w:rsid w:val="00A02D61"/>
    <w:rsid w:val="00A02FD8"/>
    <w:rsid w:val="00A03593"/>
    <w:rsid w:val="00A0371F"/>
    <w:rsid w:val="00A0379A"/>
    <w:rsid w:val="00A04315"/>
    <w:rsid w:val="00A04B4E"/>
    <w:rsid w:val="00A05A88"/>
    <w:rsid w:val="00A05C43"/>
    <w:rsid w:val="00A06DA6"/>
    <w:rsid w:val="00A070A5"/>
    <w:rsid w:val="00A10FB3"/>
    <w:rsid w:val="00A1213D"/>
    <w:rsid w:val="00A12340"/>
    <w:rsid w:val="00A13951"/>
    <w:rsid w:val="00A13B7A"/>
    <w:rsid w:val="00A13D9B"/>
    <w:rsid w:val="00A1568F"/>
    <w:rsid w:val="00A1700C"/>
    <w:rsid w:val="00A17E04"/>
    <w:rsid w:val="00A17F21"/>
    <w:rsid w:val="00A20F0D"/>
    <w:rsid w:val="00A213EA"/>
    <w:rsid w:val="00A21E65"/>
    <w:rsid w:val="00A23808"/>
    <w:rsid w:val="00A25A1D"/>
    <w:rsid w:val="00A27293"/>
    <w:rsid w:val="00A27F72"/>
    <w:rsid w:val="00A309FE"/>
    <w:rsid w:val="00A31D73"/>
    <w:rsid w:val="00A3254B"/>
    <w:rsid w:val="00A328C2"/>
    <w:rsid w:val="00A32B35"/>
    <w:rsid w:val="00A32ECC"/>
    <w:rsid w:val="00A3362A"/>
    <w:rsid w:val="00A35C6C"/>
    <w:rsid w:val="00A3698E"/>
    <w:rsid w:val="00A36AB9"/>
    <w:rsid w:val="00A41D2C"/>
    <w:rsid w:val="00A4297A"/>
    <w:rsid w:val="00A42C31"/>
    <w:rsid w:val="00A4394F"/>
    <w:rsid w:val="00A44B47"/>
    <w:rsid w:val="00A45D4E"/>
    <w:rsid w:val="00A4611E"/>
    <w:rsid w:val="00A46608"/>
    <w:rsid w:val="00A4678A"/>
    <w:rsid w:val="00A468A1"/>
    <w:rsid w:val="00A478A5"/>
    <w:rsid w:val="00A47E93"/>
    <w:rsid w:val="00A5058F"/>
    <w:rsid w:val="00A510AE"/>
    <w:rsid w:val="00A512A1"/>
    <w:rsid w:val="00A52069"/>
    <w:rsid w:val="00A52351"/>
    <w:rsid w:val="00A52B5D"/>
    <w:rsid w:val="00A52FFF"/>
    <w:rsid w:val="00A536CF"/>
    <w:rsid w:val="00A53A6E"/>
    <w:rsid w:val="00A53CC4"/>
    <w:rsid w:val="00A540DE"/>
    <w:rsid w:val="00A55E22"/>
    <w:rsid w:val="00A56558"/>
    <w:rsid w:val="00A5655E"/>
    <w:rsid w:val="00A568CF"/>
    <w:rsid w:val="00A56E03"/>
    <w:rsid w:val="00A57C17"/>
    <w:rsid w:val="00A57D38"/>
    <w:rsid w:val="00A61CE0"/>
    <w:rsid w:val="00A626D2"/>
    <w:rsid w:val="00A626F8"/>
    <w:rsid w:val="00A62CDC"/>
    <w:rsid w:val="00A63148"/>
    <w:rsid w:val="00A649D6"/>
    <w:rsid w:val="00A6534C"/>
    <w:rsid w:val="00A65B60"/>
    <w:rsid w:val="00A667F6"/>
    <w:rsid w:val="00A6686E"/>
    <w:rsid w:val="00A70146"/>
    <w:rsid w:val="00A7037D"/>
    <w:rsid w:val="00A71ADF"/>
    <w:rsid w:val="00A71C8C"/>
    <w:rsid w:val="00A71D0D"/>
    <w:rsid w:val="00A72349"/>
    <w:rsid w:val="00A73011"/>
    <w:rsid w:val="00A7317F"/>
    <w:rsid w:val="00A73948"/>
    <w:rsid w:val="00A73E8A"/>
    <w:rsid w:val="00A74FCA"/>
    <w:rsid w:val="00A74FFC"/>
    <w:rsid w:val="00A7722A"/>
    <w:rsid w:val="00A77CB6"/>
    <w:rsid w:val="00A80CFE"/>
    <w:rsid w:val="00A80DEE"/>
    <w:rsid w:val="00A80FD8"/>
    <w:rsid w:val="00A810D2"/>
    <w:rsid w:val="00A81A53"/>
    <w:rsid w:val="00A82CEF"/>
    <w:rsid w:val="00A82FB9"/>
    <w:rsid w:val="00A8311B"/>
    <w:rsid w:val="00A8417B"/>
    <w:rsid w:val="00A841AD"/>
    <w:rsid w:val="00A846A1"/>
    <w:rsid w:val="00A84EA9"/>
    <w:rsid w:val="00A8500A"/>
    <w:rsid w:val="00A86461"/>
    <w:rsid w:val="00A866E9"/>
    <w:rsid w:val="00A869D1"/>
    <w:rsid w:val="00A87DD7"/>
    <w:rsid w:val="00A905E3"/>
    <w:rsid w:val="00A92793"/>
    <w:rsid w:val="00A92BD0"/>
    <w:rsid w:val="00A92DB4"/>
    <w:rsid w:val="00A94B79"/>
    <w:rsid w:val="00A9550F"/>
    <w:rsid w:val="00A963AF"/>
    <w:rsid w:val="00A96677"/>
    <w:rsid w:val="00A97213"/>
    <w:rsid w:val="00A9763B"/>
    <w:rsid w:val="00AA009F"/>
    <w:rsid w:val="00AA0832"/>
    <w:rsid w:val="00AA0CC0"/>
    <w:rsid w:val="00AA1D56"/>
    <w:rsid w:val="00AA273D"/>
    <w:rsid w:val="00AA3E27"/>
    <w:rsid w:val="00AA4265"/>
    <w:rsid w:val="00AA573E"/>
    <w:rsid w:val="00AA5F44"/>
    <w:rsid w:val="00AA7C01"/>
    <w:rsid w:val="00AB0437"/>
    <w:rsid w:val="00AB07A1"/>
    <w:rsid w:val="00AB16CC"/>
    <w:rsid w:val="00AB177E"/>
    <w:rsid w:val="00AB3B4F"/>
    <w:rsid w:val="00AB4151"/>
    <w:rsid w:val="00AB4208"/>
    <w:rsid w:val="00AB4210"/>
    <w:rsid w:val="00AB4CC1"/>
    <w:rsid w:val="00AB56FE"/>
    <w:rsid w:val="00AB60D9"/>
    <w:rsid w:val="00AB62E5"/>
    <w:rsid w:val="00AB651E"/>
    <w:rsid w:val="00AB6B68"/>
    <w:rsid w:val="00AB71C9"/>
    <w:rsid w:val="00AB7462"/>
    <w:rsid w:val="00AB7A35"/>
    <w:rsid w:val="00AB7ADC"/>
    <w:rsid w:val="00AC0B05"/>
    <w:rsid w:val="00AC0E3F"/>
    <w:rsid w:val="00AC11A7"/>
    <w:rsid w:val="00AC1659"/>
    <w:rsid w:val="00AC22DA"/>
    <w:rsid w:val="00AC36E5"/>
    <w:rsid w:val="00AC4664"/>
    <w:rsid w:val="00AC50E4"/>
    <w:rsid w:val="00AC5173"/>
    <w:rsid w:val="00AC54D4"/>
    <w:rsid w:val="00AC63E0"/>
    <w:rsid w:val="00AC6698"/>
    <w:rsid w:val="00AD01B8"/>
    <w:rsid w:val="00AD0796"/>
    <w:rsid w:val="00AD1404"/>
    <w:rsid w:val="00AD1FD4"/>
    <w:rsid w:val="00AD2701"/>
    <w:rsid w:val="00AD2FD3"/>
    <w:rsid w:val="00AD4BFA"/>
    <w:rsid w:val="00AD4C83"/>
    <w:rsid w:val="00AD542A"/>
    <w:rsid w:val="00AD5F46"/>
    <w:rsid w:val="00AD7A8D"/>
    <w:rsid w:val="00AD7C74"/>
    <w:rsid w:val="00AE0102"/>
    <w:rsid w:val="00AE1ADA"/>
    <w:rsid w:val="00AE261A"/>
    <w:rsid w:val="00AE4261"/>
    <w:rsid w:val="00AE538C"/>
    <w:rsid w:val="00AE5D0A"/>
    <w:rsid w:val="00AE6BC3"/>
    <w:rsid w:val="00AE6F3C"/>
    <w:rsid w:val="00AE72DA"/>
    <w:rsid w:val="00AF03FD"/>
    <w:rsid w:val="00AF0C84"/>
    <w:rsid w:val="00AF0D8F"/>
    <w:rsid w:val="00AF1297"/>
    <w:rsid w:val="00AF197C"/>
    <w:rsid w:val="00AF2DF7"/>
    <w:rsid w:val="00AF313F"/>
    <w:rsid w:val="00AF48FA"/>
    <w:rsid w:val="00AF6A71"/>
    <w:rsid w:val="00AF706E"/>
    <w:rsid w:val="00AF7A33"/>
    <w:rsid w:val="00B0029A"/>
    <w:rsid w:val="00B0091E"/>
    <w:rsid w:val="00B00D29"/>
    <w:rsid w:val="00B017E6"/>
    <w:rsid w:val="00B01B19"/>
    <w:rsid w:val="00B02DAE"/>
    <w:rsid w:val="00B02E47"/>
    <w:rsid w:val="00B02FF8"/>
    <w:rsid w:val="00B042CF"/>
    <w:rsid w:val="00B04471"/>
    <w:rsid w:val="00B04FFA"/>
    <w:rsid w:val="00B06B9B"/>
    <w:rsid w:val="00B108A8"/>
    <w:rsid w:val="00B11883"/>
    <w:rsid w:val="00B11919"/>
    <w:rsid w:val="00B12C8F"/>
    <w:rsid w:val="00B130C2"/>
    <w:rsid w:val="00B134AD"/>
    <w:rsid w:val="00B13A7B"/>
    <w:rsid w:val="00B14B37"/>
    <w:rsid w:val="00B170D2"/>
    <w:rsid w:val="00B20170"/>
    <w:rsid w:val="00B20AB0"/>
    <w:rsid w:val="00B21239"/>
    <w:rsid w:val="00B21D8C"/>
    <w:rsid w:val="00B25037"/>
    <w:rsid w:val="00B25294"/>
    <w:rsid w:val="00B26126"/>
    <w:rsid w:val="00B27234"/>
    <w:rsid w:val="00B27DC3"/>
    <w:rsid w:val="00B27F04"/>
    <w:rsid w:val="00B30318"/>
    <w:rsid w:val="00B304A5"/>
    <w:rsid w:val="00B307DA"/>
    <w:rsid w:val="00B31D8B"/>
    <w:rsid w:val="00B3293D"/>
    <w:rsid w:val="00B33DC7"/>
    <w:rsid w:val="00B33FA2"/>
    <w:rsid w:val="00B348A4"/>
    <w:rsid w:val="00B34E0D"/>
    <w:rsid w:val="00B368A2"/>
    <w:rsid w:val="00B37BA9"/>
    <w:rsid w:val="00B411B7"/>
    <w:rsid w:val="00B421C6"/>
    <w:rsid w:val="00B44501"/>
    <w:rsid w:val="00B44750"/>
    <w:rsid w:val="00B450FE"/>
    <w:rsid w:val="00B45289"/>
    <w:rsid w:val="00B45B0E"/>
    <w:rsid w:val="00B45C89"/>
    <w:rsid w:val="00B45EE8"/>
    <w:rsid w:val="00B4653F"/>
    <w:rsid w:val="00B46A40"/>
    <w:rsid w:val="00B50327"/>
    <w:rsid w:val="00B50F14"/>
    <w:rsid w:val="00B51500"/>
    <w:rsid w:val="00B5165A"/>
    <w:rsid w:val="00B51E1F"/>
    <w:rsid w:val="00B53117"/>
    <w:rsid w:val="00B53120"/>
    <w:rsid w:val="00B53D40"/>
    <w:rsid w:val="00B53D74"/>
    <w:rsid w:val="00B53F8C"/>
    <w:rsid w:val="00B55A68"/>
    <w:rsid w:val="00B55BEC"/>
    <w:rsid w:val="00B56337"/>
    <w:rsid w:val="00B56E30"/>
    <w:rsid w:val="00B579EF"/>
    <w:rsid w:val="00B57C45"/>
    <w:rsid w:val="00B57F50"/>
    <w:rsid w:val="00B6027A"/>
    <w:rsid w:val="00B604D9"/>
    <w:rsid w:val="00B6341A"/>
    <w:rsid w:val="00B65AA2"/>
    <w:rsid w:val="00B667E3"/>
    <w:rsid w:val="00B66D60"/>
    <w:rsid w:val="00B67128"/>
    <w:rsid w:val="00B67BF8"/>
    <w:rsid w:val="00B7005C"/>
    <w:rsid w:val="00B705A6"/>
    <w:rsid w:val="00B70915"/>
    <w:rsid w:val="00B718EA"/>
    <w:rsid w:val="00B71FCD"/>
    <w:rsid w:val="00B7298F"/>
    <w:rsid w:val="00B730BF"/>
    <w:rsid w:val="00B732BD"/>
    <w:rsid w:val="00B738CA"/>
    <w:rsid w:val="00B7426F"/>
    <w:rsid w:val="00B746A8"/>
    <w:rsid w:val="00B74EF0"/>
    <w:rsid w:val="00B76652"/>
    <w:rsid w:val="00B766AB"/>
    <w:rsid w:val="00B76F04"/>
    <w:rsid w:val="00B8016A"/>
    <w:rsid w:val="00B808E5"/>
    <w:rsid w:val="00B81DCB"/>
    <w:rsid w:val="00B823E9"/>
    <w:rsid w:val="00B829AB"/>
    <w:rsid w:val="00B84B4A"/>
    <w:rsid w:val="00B859FF"/>
    <w:rsid w:val="00B87FCC"/>
    <w:rsid w:val="00B90D44"/>
    <w:rsid w:val="00B911EC"/>
    <w:rsid w:val="00B915B1"/>
    <w:rsid w:val="00B91E8A"/>
    <w:rsid w:val="00B92474"/>
    <w:rsid w:val="00B92682"/>
    <w:rsid w:val="00B92BA1"/>
    <w:rsid w:val="00B932FF"/>
    <w:rsid w:val="00B936E6"/>
    <w:rsid w:val="00B946FA"/>
    <w:rsid w:val="00B94785"/>
    <w:rsid w:val="00B94EA5"/>
    <w:rsid w:val="00B95C2A"/>
    <w:rsid w:val="00B96587"/>
    <w:rsid w:val="00B96933"/>
    <w:rsid w:val="00B96B03"/>
    <w:rsid w:val="00B9703D"/>
    <w:rsid w:val="00B97A81"/>
    <w:rsid w:val="00B97AFC"/>
    <w:rsid w:val="00BA294C"/>
    <w:rsid w:val="00BA29FB"/>
    <w:rsid w:val="00BA34E8"/>
    <w:rsid w:val="00BA3ED9"/>
    <w:rsid w:val="00BA48EA"/>
    <w:rsid w:val="00BA4F74"/>
    <w:rsid w:val="00BA5DDE"/>
    <w:rsid w:val="00BA6426"/>
    <w:rsid w:val="00BA657F"/>
    <w:rsid w:val="00BA734B"/>
    <w:rsid w:val="00BA7635"/>
    <w:rsid w:val="00BA7E55"/>
    <w:rsid w:val="00BB1060"/>
    <w:rsid w:val="00BB1381"/>
    <w:rsid w:val="00BB19FF"/>
    <w:rsid w:val="00BB22DE"/>
    <w:rsid w:val="00BB2560"/>
    <w:rsid w:val="00BB28BF"/>
    <w:rsid w:val="00BB31BA"/>
    <w:rsid w:val="00BB3EAC"/>
    <w:rsid w:val="00BB4949"/>
    <w:rsid w:val="00BB5264"/>
    <w:rsid w:val="00BB5D9E"/>
    <w:rsid w:val="00BB63D9"/>
    <w:rsid w:val="00BB6C5D"/>
    <w:rsid w:val="00BB73FA"/>
    <w:rsid w:val="00BB7D85"/>
    <w:rsid w:val="00BC1386"/>
    <w:rsid w:val="00BC139C"/>
    <w:rsid w:val="00BC1E3F"/>
    <w:rsid w:val="00BC225B"/>
    <w:rsid w:val="00BC48DB"/>
    <w:rsid w:val="00BC4EF1"/>
    <w:rsid w:val="00BC5043"/>
    <w:rsid w:val="00BC57A0"/>
    <w:rsid w:val="00BC591B"/>
    <w:rsid w:val="00BC5B04"/>
    <w:rsid w:val="00BC5C1B"/>
    <w:rsid w:val="00BC6063"/>
    <w:rsid w:val="00BD1700"/>
    <w:rsid w:val="00BD18FD"/>
    <w:rsid w:val="00BD199C"/>
    <w:rsid w:val="00BD2983"/>
    <w:rsid w:val="00BD3693"/>
    <w:rsid w:val="00BD3D0C"/>
    <w:rsid w:val="00BD45A7"/>
    <w:rsid w:val="00BD7B50"/>
    <w:rsid w:val="00BD7EB0"/>
    <w:rsid w:val="00BE0161"/>
    <w:rsid w:val="00BE0C3C"/>
    <w:rsid w:val="00BE0FD4"/>
    <w:rsid w:val="00BE139F"/>
    <w:rsid w:val="00BE1681"/>
    <w:rsid w:val="00BE2CB5"/>
    <w:rsid w:val="00BE3FE0"/>
    <w:rsid w:val="00BE4795"/>
    <w:rsid w:val="00BE4AE9"/>
    <w:rsid w:val="00BE6F9C"/>
    <w:rsid w:val="00BE74DD"/>
    <w:rsid w:val="00BF19A3"/>
    <w:rsid w:val="00BF2080"/>
    <w:rsid w:val="00BF21B1"/>
    <w:rsid w:val="00BF2AC0"/>
    <w:rsid w:val="00BF2E3E"/>
    <w:rsid w:val="00BF361D"/>
    <w:rsid w:val="00BF482A"/>
    <w:rsid w:val="00BF48D9"/>
    <w:rsid w:val="00BF4AAC"/>
    <w:rsid w:val="00BF6716"/>
    <w:rsid w:val="00BF75DC"/>
    <w:rsid w:val="00BF7CF1"/>
    <w:rsid w:val="00C031C2"/>
    <w:rsid w:val="00C05FC5"/>
    <w:rsid w:val="00C0692F"/>
    <w:rsid w:val="00C07891"/>
    <w:rsid w:val="00C10032"/>
    <w:rsid w:val="00C105BA"/>
    <w:rsid w:val="00C106B5"/>
    <w:rsid w:val="00C114CD"/>
    <w:rsid w:val="00C11C35"/>
    <w:rsid w:val="00C12258"/>
    <w:rsid w:val="00C12B0E"/>
    <w:rsid w:val="00C12D16"/>
    <w:rsid w:val="00C1454A"/>
    <w:rsid w:val="00C1614A"/>
    <w:rsid w:val="00C1684D"/>
    <w:rsid w:val="00C20417"/>
    <w:rsid w:val="00C2098F"/>
    <w:rsid w:val="00C22114"/>
    <w:rsid w:val="00C22361"/>
    <w:rsid w:val="00C229FE"/>
    <w:rsid w:val="00C25408"/>
    <w:rsid w:val="00C25A95"/>
    <w:rsid w:val="00C3024E"/>
    <w:rsid w:val="00C303C1"/>
    <w:rsid w:val="00C30B3E"/>
    <w:rsid w:val="00C32EE9"/>
    <w:rsid w:val="00C33425"/>
    <w:rsid w:val="00C33658"/>
    <w:rsid w:val="00C34E0B"/>
    <w:rsid w:val="00C35281"/>
    <w:rsid w:val="00C3599B"/>
    <w:rsid w:val="00C375C2"/>
    <w:rsid w:val="00C375EA"/>
    <w:rsid w:val="00C3795B"/>
    <w:rsid w:val="00C40329"/>
    <w:rsid w:val="00C40C74"/>
    <w:rsid w:val="00C41464"/>
    <w:rsid w:val="00C41578"/>
    <w:rsid w:val="00C419D8"/>
    <w:rsid w:val="00C42FB2"/>
    <w:rsid w:val="00C44609"/>
    <w:rsid w:val="00C44C71"/>
    <w:rsid w:val="00C472E0"/>
    <w:rsid w:val="00C477F9"/>
    <w:rsid w:val="00C47AE6"/>
    <w:rsid w:val="00C47ED9"/>
    <w:rsid w:val="00C50765"/>
    <w:rsid w:val="00C50C29"/>
    <w:rsid w:val="00C51119"/>
    <w:rsid w:val="00C51DCE"/>
    <w:rsid w:val="00C52873"/>
    <w:rsid w:val="00C52BC4"/>
    <w:rsid w:val="00C53902"/>
    <w:rsid w:val="00C5441F"/>
    <w:rsid w:val="00C545C6"/>
    <w:rsid w:val="00C548AC"/>
    <w:rsid w:val="00C554AC"/>
    <w:rsid w:val="00C55DBF"/>
    <w:rsid w:val="00C560CC"/>
    <w:rsid w:val="00C56244"/>
    <w:rsid w:val="00C5691D"/>
    <w:rsid w:val="00C57189"/>
    <w:rsid w:val="00C575DB"/>
    <w:rsid w:val="00C576DE"/>
    <w:rsid w:val="00C6004E"/>
    <w:rsid w:val="00C60DFE"/>
    <w:rsid w:val="00C61384"/>
    <w:rsid w:val="00C615F9"/>
    <w:rsid w:val="00C6184D"/>
    <w:rsid w:val="00C62DA9"/>
    <w:rsid w:val="00C63187"/>
    <w:rsid w:val="00C64B62"/>
    <w:rsid w:val="00C64FAB"/>
    <w:rsid w:val="00C657A8"/>
    <w:rsid w:val="00C679B6"/>
    <w:rsid w:val="00C67BC9"/>
    <w:rsid w:val="00C7049A"/>
    <w:rsid w:val="00C706C9"/>
    <w:rsid w:val="00C71557"/>
    <w:rsid w:val="00C715E7"/>
    <w:rsid w:val="00C71B79"/>
    <w:rsid w:val="00C726E2"/>
    <w:rsid w:val="00C729F7"/>
    <w:rsid w:val="00C72F7E"/>
    <w:rsid w:val="00C73499"/>
    <w:rsid w:val="00C73B23"/>
    <w:rsid w:val="00C74465"/>
    <w:rsid w:val="00C76ED4"/>
    <w:rsid w:val="00C7745D"/>
    <w:rsid w:val="00C7778F"/>
    <w:rsid w:val="00C77E70"/>
    <w:rsid w:val="00C77FDA"/>
    <w:rsid w:val="00C80F6A"/>
    <w:rsid w:val="00C818C9"/>
    <w:rsid w:val="00C81B47"/>
    <w:rsid w:val="00C81B88"/>
    <w:rsid w:val="00C82417"/>
    <w:rsid w:val="00C83422"/>
    <w:rsid w:val="00C8550F"/>
    <w:rsid w:val="00C857DE"/>
    <w:rsid w:val="00C85D8A"/>
    <w:rsid w:val="00C86B65"/>
    <w:rsid w:val="00C8771B"/>
    <w:rsid w:val="00C90003"/>
    <w:rsid w:val="00C905D2"/>
    <w:rsid w:val="00C91D38"/>
    <w:rsid w:val="00C91D45"/>
    <w:rsid w:val="00C945F5"/>
    <w:rsid w:val="00C9481C"/>
    <w:rsid w:val="00C94D50"/>
    <w:rsid w:val="00C951DC"/>
    <w:rsid w:val="00C95232"/>
    <w:rsid w:val="00C95DA5"/>
    <w:rsid w:val="00C961F6"/>
    <w:rsid w:val="00C96469"/>
    <w:rsid w:val="00CA1AE2"/>
    <w:rsid w:val="00CA2901"/>
    <w:rsid w:val="00CA2F51"/>
    <w:rsid w:val="00CA404F"/>
    <w:rsid w:val="00CA42CD"/>
    <w:rsid w:val="00CA4528"/>
    <w:rsid w:val="00CA4FFE"/>
    <w:rsid w:val="00CA528E"/>
    <w:rsid w:val="00CA5772"/>
    <w:rsid w:val="00CA5FC4"/>
    <w:rsid w:val="00CA6446"/>
    <w:rsid w:val="00CA6AF8"/>
    <w:rsid w:val="00CA6C5B"/>
    <w:rsid w:val="00CA70F8"/>
    <w:rsid w:val="00CA77FC"/>
    <w:rsid w:val="00CA77FD"/>
    <w:rsid w:val="00CA7827"/>
    <w:rsid w:val="00CB13F6"/>
    <w:rsid w:val="00CB3A5C"/>
    <w:rsid w:val="00CB4050"/>
    <w:rsid w:val="00CB40D9"/>
    <w:rsid w:val="00CB5186"/>
    <w:rsid w:val="00CB5BBF"/>
    <w:rsid w:val="00CB6294"/>
    <w:rsid w:val="00CB65BA"/>
    <w:rsid w:val="00CB69E1"/>
    <w:rsid w:val="00CB6ACB"/>
    <w:rsid w:val="00CB6D4B"/>
    <w:rsid w:val="00CB7CD7"/>
    <w:rsid w:val="00CC02FF"/>
    <w:rsid w:val="00CC0BAC"/>
    <w:rsid w:val="00CC146A"/>
    <w:rsid w:val="00CC1CB0"/>
    <w:rsid w:val="00CC1E76"/>
    <w:rsid w:val="00CC2BBA"/>
    <w:rsid w:val="00CC4F99"/>
    <w:rsid w:val="00CC52B7"/>
    <w:rsid w:val="00CC5442"/>
    <w:rsid w:val="00CC5AED"/>
    <w:rsid w:val="00CC617D"/>
    <w:rsid w:val="00CC66FA"/>
    <w:rsid w:val="00CC713D"/>
    <w:rsid w:val="00CC77DA"/>
    <w:rsid w:val="00CC7CF5"/>
    <w:rsid w:val="00CC7DF3"/>
    <w:rsid w:val="00CD016E"/>
    <w:rsid w:val="00CD07E8"/>
    <w:rsid w:val="00CD0C88"/>
    <w:rsid w:val="00CD1DFE"/>
    <w:rsid w:val="00CD2ABD"/>
    <w:rsid w:val="00CD357F"/>
    <w:rsid w:val="00CD36BB"/>
    <w:rsid w:val="00CD3E20"/>
    <w:rsid w:val="00CD4F92"/>
    <w:rsid w:val="00CD5D6B"/>
    <w:rsid w:val="00CD6B3C"/>
    <w:rsid w:val="00CD7B1D"/>
    <w:rsid w:val="00CE0C46"/>
    <w:rsid w:val="00CE191D"/>
    <w:rsid w:val="00CE1A8D"/>
    <w:rsid w:val="00CE1B0B"/>
    <w:rsid w:val="00CE230A"/>
    <w:rsid w:val="00CE2465"/>
    <w:rsid w:val="00CE26DC"/>
    <w:rsid w:val="00CE2893"/>
    <w:rsid w:val="00CE355B"/>
    <w:rsid w:val="00CE35B3"/>
    <w:rsid w:val="00CE3639"/>
    <w:rsid w:val="00CE3D00"/>
    <w:rsid w:val="00CE4584"/>
    <w:rsid w:val="00CE45FD"/>
    <w:rsid w:val="00CE5558"/>
    <w:rsid w:val="00CE59C9"/>
    <w:rsid w:val="00CE6121"/>
    <w:rsid w:val="00CF09A1"/>
    <w:rsid w:val="00CF0C40"/>
    <w:rsid w:val="00CF2079"/>
    <w:rsid w:val="00CF43FA"/>
    <w:rsid w:val="00CF4DDF"/>
    <w:rsid w:val="00CF5837"/>
    <w:rsid w:val="00CF5EC7"/>
    <w:rsid w:val="00CF60A3"/>
    <w:rsid w:val="00CF6448"/>
    <w:rsid w:val="00CF77C0"/>
    <w:rsid w:val="00CF7865"/>
    <w:rsid w:val="00D00B08"/>
    <w:rsid w:val="00D02107"/>
    <w:rsid w:val="00D02406"/>
    <w:rsid w:val="00D0407D"/>
    <w:rsid w:val="00D04DA4"/>
    <w:rsid w:val="00D04F8F"/>
    <w:rsid w:val="00D04FA8"/>
    <w:rsid w:val="00D0517D"/>
    <w:rsid w:val="00D0555B"/>
    <w:rsid w:val="00D059AD"/>
    <w:rsid w:val="00D06419"/>
    <w:rsid w:val="00D064B3"/>
    <w:rsid w:val="00D06D03"/>
    <w:rsid w:val="00D1020C"/>
    <w:rsid w:val="00D10CDE"/>
    <w:rsid w:val="00D11149"/>
    <w:rsid w:val="00D129CA"/>
    <w:rsid w:val="00D12E58"/>
    <w:rsid w:val="00D12FF9"/>
    <w:rsid w:val="00D14E56"/>
    <w:rsid w:val="00D1524E"/>
    <w:rsid w:val="00D17053"/>
    <w:rsid w:val="00D17267"/>
    <w:rsid w:val="00D17823"/>
    <w:rsid w:val="00D17AB6"/>
    <w:rsid w:val="00D17E3B"/>
    <w:rsid w:val="00D205D5"/>
    <w:rsid w:val="00D2105D"/>
    <w:rsid w:val="00D21B72"/>
    <w:rsid w:val="00D23A50"/>
    <w:rsid w:val="00D23A9B"/>
    <w:rsid w:val="00D24F92"/>
    <w:rsid w:val="00D25FAA"/>
    <w:rsid w:val="00D26075"/>
    <w:rsid w:val="00D268D4"/>
    <w:rsid w:val="00D26BCC"/>
    <w:rsid w:val="00D275AC"/>
    <w:rsid w:val="00D30815"/>
    <w:rsid w:val="00D31A6B"/>
    <w:rsid w:val="00D329DA"/>
    <w:rsid w:val="00D3406C"/>
    <w:rsid w:val="00D34872"/>
    <w:rsid w:val="00D35BEB"/>
    <w:rsid w:val="00D36381"/>
    <w:rsid w:val="00D368D5"/>
    <w:rsid w:val="00D36F84"/>
    <w:rsid w:val="00D37398"/>
    <w:rsid w:val="00D405CA"/>
    <w:rsid w:val="00D41DFC"/>
    <w:rsid w:val="00D41ECC"/>
    <w:rsid w:val="00D42001"/>
    <w:rsid w:val="00D42252"/>
    <w:rsid w:val="00D429CC"/>
    <w:rsid w:val="00D43251"/>
    <w:rsid w:val="00D4330B"/>
    <w:rsid w:val="00D4425E"/>
    <w:rsid w:val="00D442CE"/>
    <w:rsid w:val="00D4436A"/>
    <w:rsid w:val="00D5067B"/>
    <w:rsid w:val="00D50C70"/>
    <w:rsid w:val="00D51A77"/>
    <w:rsid w:val="00D525E2"/>
    <w:rsid w:val="00D5567A"/>
    <w:rsid w:val="00D559CE"/>
    <w:rsid w:val="00D561D3"/>
    <w:rsid w:val="00D5669D"/>
    <w:rsid w:val="00D57939"/>
    <w:rsid w:val="00D57B91"/>
    <w:rsid w:val="00D6009D"/>
    <w:rsid w:val="00D60BEF"/>
    <w:rsid w:val="00D60E2B"/>
    <w:rsid w:val="00D6166C"/>
    <w:rsid w:val="00D617A5"/>
    <w:rsid w:val="00D61D4D"/>
    <w:rsid w:val="00D62BA4"/>
    <w:rsid w:val="00D62ED9"/>
    <w:rsid w:val="00D632E9"/>
    <w:rsid w:val="00D63D29"/>
    <w:rsid w:val="00D63F2A"/>
    <w:rsid w:val="00D65432"/>
    <w:rsid w:val="00D659B0"/>
    <w:rsid w:val="00D65C60"/>
    <w:rsid w:val="00D65D47"/>
    <w:rsid w:val="00D66007"/>
    <w:rsid w:val="00D67DF3"/>
    <w:rsid w:val="00D702AD"/>
    <w:rsid w:val="00D71BD2"/>
    <w:rsid w:val="00D7309D"/>
    <w:rsid w:val="00D734B0"/>
    <w:rsid w:val="00D7428C"/>
    <w:rsid w:val="00D752C7"/>
    <w:rsid w:val="00D75DAF"/>
    <w:rsid w:val="00D765D4"/>
    <w:rsid w:val="00D77EA9"/>
    <w:rsid w:val="00D8059C"/>
    <w:rsid w:val="00D805E1"/>
    <w:rsid w:val="00D81163"/>
    <w:rsid w:val="00D81202"/>
    <w:rsid w:val="00D820A9"/>
    <w:rsid w:val="00D83597"/>
    <w:rsid w:val="00D8402E"/>
    <w:rsid w:val="00D84250"/>
    <w:rsid w:val="00D84C2D"/>
    <w:rsid w:val="00D86139"/>
    <w:rsid w:val="00D86871"/>
    <w:rsid w:val="00D87E83"/>
    <w:rsid w:val="00D90241"/>
    <w:rsid w:val="00D9041F"/>
    <w:rsid w:val="00D908C9"/>
    <w:rsid w:val="00D91189"/>
    <w:rsid w:val="00D92005"/>
    <w:rsid w:val="00D924C1"/>
    <w:rsid w:val="00D92BAC"/>
    <w:rsid w:val="00D92F89"/>
    <w:rsid w:val="00D93174"/>
    <w:rsid w:val="00D931BD"/>
    <w:rsid w:val="00D93243"/>
    <w:rsid w:val="00D94216"/>
    <w:rsid w:val="00D94B42"/>
    <w:rsid w:val="00D95012"/>
    <w:rsid w:val="00D9501F"/>
    <w:rsid w:val="00D95451"/>
    <w:rsid w:val="00D95AAF"/>
    <w:rsid w:val="00D95BAD"/>
    <w:rsid w:val="00D96594"/>
    <w:rsid w:val="00D9726C"/>
    <w:rsid w:val="00DA03F7"/>
    <w:rsid w:val="00DA11A7"/>
    <w:rsid w:val="00DA1E2F"/>
    <w:rsid w:val="00DA2165"/>
    <w:rsid w:val="00DA243F"/>
    <w:rsid w:val="00DA251A"/>
    <w:rsid w:val="00DA2AC5"/>
    <w:rsid w:val="00DA35F7"/>
    <w:rsid w:val="00DA3853"/>
    <w:rsid w:val="00DA387E"/>
    <w:rsid w:val="00DA3F4C"/>
    <w:rsid w:val="00DA57D2"/>
    <w:rsid w:val="00DA70D5"/>
    <w:rsid w:val="00DB0E9D"/>
    <w:rsid w:val="00DB11C6"/>
    <w:rsid w:val="00DB1A33"/>
    <w:rsid w:val="00DB1EA6"/>
    <w:rsid w:val="00DB2335"/>
    <w:rsid w:val="00DB3377"/>
    <w:rsid w:val="00DB3E7E"/>
    <w:rsid w:val="00DB4200"/>
    <w:rsid w:val="00DB448E"/>
    <w:rsid w:val="00DB4766"/>
    <w:rsid w:val="00DB4A8A"/>
    <w:rsid w:val="00DB60D9"/>
    <w:rsid w:val="00DB6ECF"/>
    <w:rsid w:val="00DB7C29"/>
    <w:rsid w:val="00DC0787"/>
    <w:rsid w:val="00DC0965"/>
    <w:rsid w:val="00DC1C55"/>
    <w:rsid w:val="00DC2FF5"/>
    <w:rsid w:val="00DC44E3"/>
    <w:rsid w:val="00DC54CF"/>
    <w:rsid w:val="00DC5B8D"/>
    <w:rsid w:val="00DC5FC1"/>
    <w:rsid w:val="00DC7AAD"/>
    <w:rsid w:val="00DD0913"/>
    <w:rsid w:val="00DD4747"/>
    <w:rsid w:val="00DD4949"/>
    <w:rsid w:val="00DD5FA5"/>
    <w:rsid w:val="00DD6110"/>
    <w:rsid w:val="00DD6210"/>
    <w:rsid w:val="00DD6722"/>
    <w:rsid w:val="00DD6DE9"/>
    <w:rsid w:val="00DD6EDB"/>
    <w:rsid w:val="00DD6FDD"/>
    <w:rsid w:val="00DE0966"/>
    <w:rsid w:val="00DE1993"/>
    <w:rsid w:val="00DE1A1E"/>
    <w:rsid w:val="00DE1AFB"/>
    <w:rsid w:val="00DE1DE2"/>
    <w:rsid w:val="00DE4330"/>
    <w:rsid w:val="00DE64F5"/>
    <w:rsid w:val="00DE6A8E"/>
    <w:rsid w:val="00DE7750"/>
    <w:rsid w:val="00DE7FA6"/>
    <w:rsid w:val="00DE7FEE"/>
    <w:rsid w:val="00DF11E9"/>
    <w:rsid w:val="00DF1838"/>
    <w:rsid w:val="00DF2525"/>
    <w:rsid w:val="00DF25C5"/>
    <w:rsid w:val="00DF2B35"/>
    <w:rsid w:val="00DF3780"/>
    <w:rsid w:val="00DF4FF2"/>
    <w:rsid w:val="00DF5536"/>
    <w:rsid w:val="00DF5DD8"/>
    <w:rsid w:val="00DF6041"/>
    <w:rsid w:val="00E0068F"/>
    <w:rsid w:val="00E008AB"/>
    <w:rsid w:val="00E00F02"/>
    <w:rsid w:val="00E01733"/>
    <w:rsid w:val="00E01DEF"/>
    <w:rsid w:val="00E02236"/>
    <w:rsid w:val="00E02376"/>
    <w:rsid w:val="00E02511"/>
    <w:rsid w:val="00E02613"/>
    <w:rsid w:val="00E04026"/>
    <w:rsid w:val="00E05372"/>
    <w:rsid w:val="00E06358"/>
    <w:rsid w:val="00E07105"/>
    <w:rsid w:val="00E07378"/>
    <w:rsid w:val="00E10DF4"/>
    <w:rsid w:val="00E119E4"/>
    <w:rsid w:val="00E11C48"/>
    <w:rsid w:val="00E1370F"/>
    <w:rsid w:val="00E13BC8"/>
    <w:rsid w:val="00E14767"/>
    <w:rsid w:val="00E14CA9"/>
    <w:rsid w:val="00E15FCF"/>
    <w:rsid w:val="00E16001"/>
    <w:rsid w:val="00E167F8"/>
    <w:rsid w:val="00E16B6D"/>
    <w:rsid w:val="00E16ED7"/>
    <w:rsid w:val="00E1793F"/>
    <w:rsid w:val="00E17E23"/>
    <w:rsid w:val="00E21FF1"/>
    <w:rsid w:val="00E222DC"/>
    <w:rsid w:val="00E22FF8"/>
    <w:rsid w:val="00E23414"/>
    <w:rsid w:val="00E24753"/>
    <w:rsid w:val="00E250A2"/>
    <w:rsid w:val="00E2558B"/>
    <w:rsid w:val="00E2684C"/>
    <w:rsid w:val="00E2684E"/>
    <w:rsid w:val="00E26B26"/>
    <w:rsid w:val="00E26C06"/>
    <w:rsid w:val="00E26FA1"/>
    <w:rsid w:val="00E27F63"/>
    <w:rsid w:val="00E30599"/>
    <w:rsid w:val="00E31808"/>
    <w:rsid w:val="00E31A03"/>
    <w:rsid w:val="00E31A41"/>
    <w:rsid w:val="00E327D9"/>
    <w:rsid w:val="00E32FC1"/>
    <w:rsid w:val="00E33277"/>
    <w:rsid w:val="00E3393B"/>
    <w:rsid w:val="00E3550E"/>
    <w:rsid w:val="00E35B6F"/>
    <w:rsid w:val="00E361A6"/>
    <w:rsid w:val="00E36B1F"/>
    <w:rsid w:val="00E37CF7"/>
    <w:rsid w:val="00E40391"/>
    <w:rsid w:val="00E405BB"/>
    <w:rsid w:val="00E40F59"/>
    <w:rsid w:val="00E425F0"/>
    <w:rsid w:val="00E42973"/>
    <w:rsid w:val="00E42BEE"/>
    <w:rsid w:val="00E44D8E"/>
    <w:rsid w:val="00E45160"/>
    <w:rsid w:val="00E45B2A"/>
    <w:rsid w:val="00E46ABA"/>
    <w:rsid w:val="00E4753D"/>
    <w:rsid w:val="00E47B39"/>
    <w:rsid w:val="00E47F79"/>
    <w:rsid w:val="00E51249"/>
    <w:rsid w:val="00E51AF3"/>
    <w:rsid w:val="00E52B77"/>
    <w:rsid w:val="00E53057"/>
    <w:rsid w:val="00E53181"/>
    <w:rsid w:val="00E53999"/>
    <w:rsid w:val="00E53A7C"/>
    <w:rsid w:val="00E53D51"/>
    <w:rsid w:val="00E53EB1"/>
    <w:rsid w:val="00E54519"/>
    <w:rsid w:val="00E55BBA"/>
    <w:rsid w:val="00E56385"/>
    <w:rsid w:val="00E57164"/>
    <w:rsid w:val="00E60F0F"/>
    <w:rsid w:val="00E6109C"/>
    <w:rsid w:val="00E61539"/>
    <w:rsid w:val="00E61C2A"/>
    <w:rsid w:val="00E62F9F"/>
    <w:rsid w:val="00E62FC3"/>
    <w:rsid w:val="00E63EB6"/>
    <w:rsid w:val="00E646DB"/>
    <w:rsid w:val="00E64C02"/>
    <w:rsid w:val="00E66E91"/>
    <w:rsid w:val="00E67D8B"/>
    <w:rsid w:val="00E70217"/>
    <w:rsid w:val="00E706BB"/>
    <w:rsid w:val="00E707FF"/>
    <w:rsid w:val="00E709D4"/>
    <w:rsid w:val="00E70C01"/>
    <w:rsid w:val="00E71EDE"/>
    <w:rsid w:val="00E72759"/>
    <w:rsid w:val="00E7296B"/>
    <w:rsid w:val="00E72D42"/>
    <w:rsid w:val="00E73323"/>
    <w:rsid w:val="00E73C70"/>
    <w:rsid w:val="00E75EEA"/>
    <w:rsid w:val="00E763CB"/>
    <w:rsid w:val="00E76A1B"/>
    <w:rsid w:val="00E77546"/>
    <w:rsid w:val="00E80A14"/>
    <w:rsid w:val="00E814E3"/>
    <w:rsid w:val="00E81867"/>
    <w:rsid w:val="00E829EF"/>
    <w:rsid w:val="00E82C67"/>
    <w:rsid w:val="00E82E69"/>
    <w:rsid w:val="00E8312E"/>
    <w:rsid w:val="00E83B83"/>
    <w:rsid w:val="00E85197"/>
    <w:rsid w:val="00E8598E"/>
    <w:rsid w:val="00E85A58"/>
    <w:rsid w:val="00E86605"/>
    <w:rsid w:val="00E8671F"/>
    <w:rsid w:val="00E870BF"/>
    <w:rsid w:val="00E87DA0"/>
    <w:rsid w:val="00E9004E"/>
    <w:rsid w:val="00E900BA"/>
    <w:rsid w:val="00E901FE"/>
    <w:rsid w:val="00E91964"/>
    <w:rsid w:val="00E91D6E"/>
    <w:rsid w:val="00E92511"/>
    <w:rsid w:val="00E92D8D"/>
    <w:rsid w:val="00E93CF3"/>
    <w:rsid w:val="00E93FC6"/>
    <w:rsid w:val="00E94711"/>
    <w:rsid w:val="00E96598"/>
    <w:rsid w:val="00E96FCE"/>
    <w:rsid w:val="00E97ED6"/>
    <w:rsid w:val="00EA01A6"/>
    <w:rsid w:val="00EA060B"/>
    <w:rsid w:val="00EA1473"/>
    <w:rsid w:val="00EA3404"/>
    <w:rsid w:val="00EA340C"/>
    <w:rsid w:val="00EA4FFB"/>
    <w:rsid w:val="00EA5AC1"/>
    <w:rsid w:val="00EA65A7"/>
    <w:rsid w:val="00EA70EC"/>
    <w:rsid w:val="00EA717B"/>
    <w:rsid w:val="00EA7D45"/>
    <w:rsid w:val="00EB22AA"/>
    <w:rsid w:val="00EB2490"/>
    <w:rsid w:val="00EB2AE1"/>
    <w:rsid w:val="00EB2B54"/>
    <w:rsid w:val="00EB2DCD"/>
    <w:rsid w:val="00EB4939"/>
    <w:rsid w:val="00EB4DA9"/>
    <w:rsid w:val="00EB633F"/>
    <w:rsid w:val="00EB7820"/>
    <w:rsid w:val="00EB7AA2"/>
    <w:rsid w:val="00EC028A"/>
    <w:rsid w:val="00EC0A1E"/>
    <w:rsid w:val="00EC16F5"/>
    <w:rsid w:val="00EC41EC"/>
    <w:rsid w:val="00EC43F8"/>
    <w:rsid w:val="00EC47C5"/>
    <w:rsid w:val="00EC493B"/>
    <w:rsid w:val="00EC4CC6"/>
    <w:rsid w:val="00EC5723"/>
    <w:rsid w:val="00EC5ED2"/>
    <w:rsid w:val="00EC6494"/>
    <w:rsid w:val="00EC6F38"/>
    <w:rsid w:val="00EC7826"/>
    <w:rsid w:val="00ED08A8"/>
    <w:rsid w:val="00ED15A1"/>
    <w:rsid w:val="00ED18D4"/>
    <w:rsid w:val="00ED244B"/>
    <w:rsid w:val="00ED248A"/>
    <w:rsid w:val="00ED3884"/>
    <w:rsid w:val="00ED453B"/>
    <w:rsid w:val="00ED45D3"/>
    <w:rsid w:val="00ED4BC0"/>
    <w:rsid w:val="00ED7CA6"/>
    <w:rsid w:val="00EE05DF"/>
    <w:rsid w:val="00EE09D3"/>
    <w:rsid w:val="00EE36E2"/>
    <w:rsid w:val="00EE50F5"/>
    <w:rsid w:val="00EE7BE0"/>
    <w:rsid w:val="00EE7C4E"/>
    <w:rsid w:val="00EE7F78"/>
    <w:rsid w:val="00EF0219"/>
    <w:rsid w:val="00EF027B"/>
    <w:rsid w:val="00EF0744"/>
    <w:rsid w:val="00EF0CBA"/>
    <w:rsid w:val="00EF1477"/>
    <w:rsid w:val="00EF32B1"/>
    <w:rsid w:val="00EF33B8"/>
    <w:rsid w:val="00EF3B39"/>
    <w:rsid w:val="00EF45B9"/>
    <w:rsid w:val="00EF47EF"/>
    <w:rsid w:val="00EF696D"/>
    <w:rsid w:val="00EF6B02"/>
    <w:rsid w:val="00EF74C1"/>
    <w:rsid w:val="00F010D0"/>
    <w:rsid w:val="00F016CE"/>
    <w:rsid w:val="00F018DF"/>
    <w:rsid w:val="00F02090"/>
    <w:rsid w:val="00F0311A"/>
    <w:rsid w:val="00F040B1"/>
    <w:rsid w:val="00F0426E"/>
    <w:rsid w:val="00F0487B"/>
    <w:rsid w:val="00F048B5"/>
    <w:rsid w:val="00F0668C"/>
    <w:rsid w:val="00F0681A"/>
    <w:rsid w:val="00F06FE2"/>
    <w:rsid w:val="00F10DE9"/>
    <w:rsid w:val="00F12D4D"/>
    <w:rsid w:val="00F14064"/>
    <w:rsid w:val="00F15B4C"/>
    <w:rsid w:val="00F1624F"/>
    <w:rsid w:val="00F16624"/>
    <w:rsid w:val="00F174BB"/>
    <w:rsid w:val="00F1790E"/>
    <w:rsid w:val="00F20BF1"/>
    <w:rsid w:val="00F20C63"/>
    <w:rsid w:val="00F20E06"/>
    <w:rsid w:val="00F213C9"/>
    <w:rsid w:val="00F22C71"/>
    <w:rsid w:val="00F23C0F"/>
    <w:rsid w:val="00F2429C"/>
    <w:rsid w:val="00F246D2"/>
    <w:rsid w:val="00F254AC"/>
    <w:rsid w:val="00F25737"/>
    <w:rsid w:val="00F26EF6"/>
    <w:rsid w:val="00F30066"/>
    <w:rsid w:val="00F30716"/>
    <w:rsid w:val="00F31059"/>
    <w:rsid w:val="00F32664"/>
    <w:rsid w:val="00F32A76"/>
    <w:rsid w:val="00F32E05"/>
    <w:rsid w:val="00F32EDB"/>
    <w:rsid w:val="00F33013"/>
    <w:rsid w:val="00F33CE5"/>
    <w:rsid w:val="00F35164"/>
    <w:rsid w:val="00F35230"/>
    <w:rsid w:val="00F35933"/>
    <w:rsid w:val="00F3669E"/>
    <w:rsid w:val="00F36950"/>
    <w:rsid w:val="00F3766D"/>
    <w:rsid w:val="00F40DB8"/>
    <w:rsid w:val="00F41491"/>
    <w:rsid w:val="00F4316D"/>
    <w:rsid w:val="00F4373F"/>
    <w:rsid w:val="00F44311"/>
    <w:rsid w:val="00F44AC8"/>
    <w:rsid w:val="00F45597"/>
    <w:rsid w:val="00F455CD"/>
    <w:rsid w:val="00F4606C"/>
    <w:rsid w:val="00F46672"/>
    <w:rsid w:val="00F471D8"/>
    <w:rsid w:val="00F500F8"/>
    <w:rsid w:val="00F52432"/>
    <w:rsid w:val="00F525EB"/>
    <w:rsid w:val="00F52B7D"/>
    <w:rsid w:val="00F544A2"/>
    <w:rsid w:val="00F54E67"/>
    <w:rsid w:val="00F559B2"/>
    <w:rsid w:val="00F56294"/>
    <w:rsid w:val="00F56EE7"/>
    <w:rsid w:val="00F607D1"/>
    <w:rsid w:val="00F60873"/>
    <w:rsid w:val="00F615A8"/>
    <w:rsid w:val="00F619B6"/>
    <w:rsid w:val="00F61B96"/>
    <w:rsid w:val="00F63CF2"/>
    <w:rsid w:val="00F64395"/>
    <w:rsid w:val="00F648EF"/>
    <w:rsid w:val="00F652DC"/>
    <w:rsid w:val="00F67291"/>
    <w:rsid w:val="00F700C2"/>
    <w:rsid w:val="00F70C51"/>
    <w:rsid w:val="00F73D58"/>
    <w:rsid w:val="00F745DA"/>
    <w:rsid w:val="00F76261"/>
    <w:rsid w:val="00F77520"/>
    <w:rsid w:val="00F77A5B"/>
    <w:rsid w:val="00F81C51"/>
    <w:rsid w:val="00F81F9C"/>
    <w:rsid w:val="00F833D8"/>
    <w:rsid w:val="00F833ED"/>
    <w:rsid w:val="00F84EFB"/>
    <w:rsid w:val="00F84F71"/>
    <w:rsid w:val="00F8510E"/>
    <w:rsid w:val="00F86A41"/>
    <w:rsid w:val="00F8702F"/>
    <w:rsid w:val="00F8740E"/>
    <w:rsid w:val="00F875F4"/>
    <w:rsid w:val="00F90351"/>
    <w:rsid w:val="00F90C86"/>
    <w:rsid w:val="00F90DE7"/>
    <w:rsid w:val="00F91E44"/>
    <w:rsid w:val="00F92391"/>
    <w:rsid w:val="00F92E68"/>
    <w:rsid w:val="00F93138"/>
    <w:rsid w:val="00F9566E"/>
    <w:rsid w:val="00F96202"/>
    <w:rsid w:val="00F96690"/>
    <w:rsid w:val="00F96A31"/>
    <w:rsid w:val="00F9761D"/>
    <w:rsid w:val="00F97E0A"/>
    <w:rsid w:val="00FA071E"/>
    <w:rsid w:val="00FA1467"/>
    <w:rsid w:val="00FA1A48"/>
    <w:rsid w:val="00FA3F66"/>
    <w:rsid w:val="00FA555F"/>
    <w:rsid w:val="00FA61BE"/>
    <w:rsid w:val="00FA63A3"/>
    <w:rsid w:val="00FA66A6"/>
    <w:rsid w:val="00FA6C6F"/>
    <w:rsid w:val="00FA7627"/>
    <w:rsid w:val="00FB0D0B"/>
    <w:rsid w:val="00FB0E80"/>
    <w:rsid w:val="00FB0EB4"/>
    <w:rsid w:val="00FB0FA8"/>
    <w:rsid w:val="00FB1958"/>
    <w:rsid w:val="00FB1E53"/>
    <w:rsid w:val="00FB2363"/>
    <w:rsid w:val="00FB2C8F"/>
    <w:rsid w:val="00FB2CE7"/>
    <w:rsid w:val="00FB2F3E"/>
    <w:rsid w:val="00FB33D1"/>
    <w:rsid w:val="00FB33EE"/>
    <w:rsid w:val="00FB3D50"/>
    <w:rsid w:val="00FB3EC1"/>
    <w:rsid w:val="00FB44FD"/>
    <w:rsid w:val="00FB663D"/>
    <w:rsid w:val="00FB6B37"/>
    <w:rsid w:val="00FB70DD"/>
    <w:rsid w:val="00FB7591"/>
    <w:rsid w:val="00FC0264"/>
    <w:rsid w:val="00FC0D55"/>
    <w:rsid w:val="00FC17CE"/>
    <w:rsid w:val="00FC21F9"/>
    <w:rsid w:val="00FC33C5"/>
    <w:rsid w:val="00FC3CB0"/>
    <w:rsid w:val="00FC4D22"/>
    <w:rsid w:val="00FC5604"/>
    <w:rsid w:val="00FC57C5"/>
    <w:rsid w:val="00FC6D16"/>
    <w:rsid w:val="00FC723E"/>
    <w:rsid w:val="00FC790B"/>
    <w:rsid w:val="00FC7DA2"/>
    <w:rsid w:val="00FD02B2"/>
    <w:rsid w:val="00FD0374"/>
    <w:rsid w:val="00FD0C19"/>
    <w:rsid w:val="00FD109A"/>
    <w:rsid w:val="00FD1A2A"/>
    <w:rsid w:val="00FD1DAD"/>
    <w:rsid w:val="00FD207B"/>
    <w:rsid w:val="00FD2766"/>
    <w:rsid w:val="00FD30F0"/>
    <w:rsid w:val="00FD3C07"/>
    <w:rsid w:val="00FD3F70"/>
    <w:rsid w:val="00FD4E7B"/>
    <w:rsid w:val="00FD5538"/>
    <w:rsid w:val="00FD5E41"/>
    <w:rsid w:val="00FD6320"/>
    <w:rsid w:val="00FE09F5"/>
    <w:rsid w:val="00FE13FC"/>
    <w:rsid w:val="00FE14C9"/>
    <w:rsid w:val="00FE1713"/>
    <w:rsid w:val="00FE2DD9"/>
    <w:rsid w:val="00FE3594"/>
    <w:rsid w:val="00FE35DC"/>
    <w:rsid w:val="00FE450A"/>
    <w:rsid w:val="00FE591D"/>
    <w:rsid w:val="00FE59BD"/>
    <w:rsid w:val="00FE5FF0"/>
    <w:rsid w:val="00FE63CA"/>
    <w:rsid w:val="00FE6A8A"/>
    <w:rsid w:val="00FE7ADF"/>
    <w:rsid w:val="00FF0FEE"/>
    <w:rsid w:val="00FF2E49"/>
    <w:rsid w:val="00FF4202"/>
    <w:rsid w:val="00FF49C2"/>
    <w:rsid w:val="00FF5A29"/>
    <w:rsid w:val="00FF6BE0"/>
    <w:rsid w:val="00FF6E8D"/>
    <w:rsid w:val="00FF73E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3E85FC2A-F475-448B-9760-20B9632E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qFormat/>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qFormat/>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qFormat/>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qFormat/>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qFormat/>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qFormat/>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qFormat/>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qFormat/>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C41578"/>
    <w:pPr>
      <w:ind w:left="0" w:firstLine="0"/>
    </w:pPr>
    <w:rPr>
      <w:iCs/>
    </w:rPr>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C41578"/>
    <w:rPr>
      <w:rFonts w:ascii="Times New Roman" w:eastAsia="Calibri" w:hAnsi="Times New Roman"/>
      <w:bCs w:val="0"/>
      <w:iCs/>
      <w:sz w:val="24"/>
      <w:szCs w:val="24"/>
      <w:bdr w:val="none" w:sz="0" w:space="0" w:color="auto" w:frame="1"/>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BB7D85"/>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BB7D85"/>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B81DCB"/>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B81DCB"/>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9051D3"/>
    <w:pPr>
      <w:spacing w:before="120"/>
    </w:pPr>
    <w:rPr>
      <w:rFonts w:eastAsiaTheme="majorEastAsia"/>
      <w:bCs/>
      <w:iCs/>
      <w:sz w:val="24"/>
      <w:szCs w:val="24"/>
      <w:bdr w:val="none" w:sz="0" w:space="0" w:color="auto" w:frame="1"/>
      <w:lang w:eastAsia="ja-JP" w:bidi="fa-IR"/>
    </w:rPr>
  </w:style>
  <w:style w:type="character" w:customStyle="1" w:styleId="JANZSSABodycopyChar">
    <w:name w:val="JANZSSA Body copy Char"/>
    <w:basedOn w:val="DefaultParagraphFont"/>
    <w:link w:val="JANZSSABodycopy"/>
    <w:rsid w:val="009051D3"/>
    <w:rPr>
      <w:rFonts w:ascii="Times New Roman" w:eastAsiaTheme="majorEastAsia" w:hAnsi="Times New Roman"/>
      <w:bCs/>
      <w:iCs/>
      <w:sz w:val="24"/>
      <w:szCs w:val="24"/>
      <w:bdr w:val="none" w:sz="0" w:space="0" w:color="auto" w:frame="1"/>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3A73F7"/>
    <w:pPr>
      <w:numPr>
        <w:numId w:val="1"/>
      </w:numPr>
      <w:spacing w:before="120" w:after="120"/>
    </w:pPr>
    <w:rPr>
      <w:sz w:val="24"/>
      <w:szCs w:val="24"/>
      <w:shd w:val="clear" w:color="auto" w:fill="FFFFFF" w:themeFill="background1"/>
    </w:rPr>
  </w:style>
  <w:style w:type="character" w:customStyle="1" w:styleId="JANZSSABulletChar">
    <w:name w:val="JANZSSA Bullet Char"/>
    <w:basedOn w:val="DefaultParagraphFont"/>
    <w:link w:val="JANZSSABullet"/>
    <w:rsid w:val="003A73F7"/>
    <w:rPr>
      <w:rFonts w:ascii="Times New Roman" w:eastAsia="Calibri" w:hAnsi="Times New Roman"/>
      <w:sz w:val="24"/>
      <w:szCs w:val="24"/>
    </w:rPr>
  </w:style>
  <w:style w:type="paragraph" w:customStyle="1" w:styleId="JANZSSAHeading2">
    <w:name w:val="JANZSSA Heading 2"/>
    <w:basedOn w:val="JANZSSAHeading1"/>
    <w:link w:val="JANZSSAHeading2Char"/>
    <w:autoRedefine/>
    <w:qFormat/>
    <w:rsid w:val="00BB7D85"/>
    <w:pPr>
      <w:spacing w:before="120"/>
    </w:pPr>
    <w:rPr>
      <w:rFonts w:eastAsia="Calibri" w:cs="Segoe UI"/>
      <w:bCs w:val="0"/>
      <w:i/>
      <w:shd w:val="clear" w:color="auto" w:fill="FFFFFF"/>
      <w:lang w:val="en"/>
    </w:rPr>
  </w:style>
  <w:style w:type="character" w:customStyle="1" w:styleId="JANZSSAHeading2Char">
    <w:name w:val="JANZSSA Heading 2 Char"/>
    <w:basedOn w:val="DefaultParagraphFont"/>
    <w:link w:val="JANZSSAHeading2"/>
    <w:rsid w:val="00BB7D85"/>
    <w:rPr>
      <w:rFonts w:ascii="Times New Roman" w:eastAsia="Calibri" w:hAnsi="Times New Roman" w:cs="Segoe UI"/>
      <w:b/>
      <w:i/>
      <w:sz w:val="24"/>
      <w:szCs w:val="24"/>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BB7D85"/>
    <w:rPr>
      <w:rFonts w:eastAsia="MS Mincho"/>
      <w:b w:val="0"/>
      <w:bCs/>
      <w:lang w:eastAsia="ja-JP"/>
    </w:rPr>
  </w:style>
  <w:style w:type="character" w:customStyle="1" w:styleId="JANZSSAHeading3Char">
    <w:name w:val="JANZSSA Heading 3 Char"/>
    <w:basedOn w:val="JANZSSAHeading2Char"/>
    <w:link w:val="JANZSSAHeading3"/>
    <w:rsid w:val="00BB7D85"/>
    <w:rPr>
      <w:rFonts w:ascii="Times New Roman" w:eastAsia="MS Mincho" w:hAnsi="Times New Roman" w:cs="Segoe UI"/>
      <w:b w:val="0"/>
      <w:bCs/>
      <w:i/>
      <w:sz w:val="24"/>
      <w:szCs w:val="24"/>
      <w:lang w:val="en" w:eastAsia="ja-JP"/>
    </w:rPr>
  </w:style>
  <w:style w:type="paragraph" w:customStyle="1" w:styleId="JANZSSAHeading4">
    <w:name w:val="JANZSSA Heading 4"/>
    <w:basedOn w:val="JANZSSAHeading3"/>
    <w:link w:val="JANZSSAHeading4Char"/>
    <w:autoRedefine/>
    <w:qFormat/>
    <w:rsid w:val="00BB7D85"/>
    <w:rPr>
      <w:bCs w:val="0"/>
      <w:i w:val="0"/>
      <w:iCs/>
      <w:sz w:val="20"/>
      <w:szCs w:val="26"/>
    </w:rPr>
  </w:style>
  <w:style w:type="character" w:customStyle="1" w:styleId="JANZSSAHeading4Char">
    <w:name w:val="JANZSSA Heading 4 Char"/>
    <w:basedOn w:val="JANZSSAHeading3Char"/>
    <w:link w:val="JANZSSAHeading4"/>
    <w:rsid w:val="00BB7D85"/>
    <w:rPr>
      <w:rFonts w:ascii="Times New Roman" w:eastAsia="MS Mincho" w:hAnsi="Times New Roman" w:cs="Segoe UI"/>
      <w:b w:val="0"/>
      <w:bCs w:val="0"/>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rPr>
      <w:b/>
      <w:bCs/>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paragraph" w:styleId="ListParagraph">
    <w:name w:val="List Paragraph"/>
    <w:basedOn w:val="Normal"/>
    <w:uiPriority w:val="34"/>
    <w:qFormat/>
    <w:rsid w:val="00143D7E"/>
    <w:pPr>
      <w:spacing w:after="160" w:line="278" w:lineRule="auto"/>
      <w:ind w:left="720"/>
      <w:contextualSpacing/>
    </w:pPr>
    <w:rPr>
      <w:rFonts w:asciiTheme="minorHAnsi" w:eastAsiaTheme="minorEastAsia" w:hAnsiTheme="minorHAnsi" w:cstheme="minorBidi"/>
      <w:kern w:val="2"/>
      <w:sz w:val="24"/>
      <w:szCs w:val="24"/>
      <w:lang w:eastAsia="ko-KR"/>
      <w14:ligatures w14:val="standardContextual"/>
    </w:rPr>
  </w:style>
  <w:style w:type="paragraph" w:styleId="NormalWeb">
    <w:name w:val="Normal (Web)"/>
    <w:basedOn w:val="Normal"/>
    <w:uiPriority w:val="99"/>
    <w:unhideWhenUsed/>
    <w:rsid w:val="00143D7E"/>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143D7E"/>
    <w:rPr>
      <w:i/>
      <w:iCs/>
    </w:rPr>
  </w:style>
  <w:style w:type="character" w:styleId="Strong">
    <w:name w:val="Strong"/>
    <w:basedOn w:val="DefaultParagraphFont"/>
    <w:uiPriority w:val="22"/>
    <w:qFormat/>
    <w:rsid w:val="00143D7E"/>
    <w:rPr>
      <w:b/>
      <w:bCs/>
    </w:rPr>
  </w:style>
  <w:style w:type="character" w:styleId="Hyperlink">
    <w:name w:val="Hyperlink"/>
    <w:basedOn w:val="DefaultParagraphFont"/>
    <w:uiPriority w:val="99"/>
    <w:unhideWhenUsed/>
    <w:rsid w:val="00143D7E"/>
    <w:rPr>
      <w:color w:val="0000FF" w:themeColor="hyperlink"/>
      <w:u w:val="single"/>
    </w:rPr>
  </w:style>
  <w:style w:type="character" w:styleId="CommentReference">
    <w:name w:val="annotation reference"/>
    <w:basedOn w:val="DefaultParagraphFont"/>
    <w:uiPriority w:val="99"/>
    <w:semiHidden/>
    <w:unhideWhenUsed/>
    <w:rsid w:val="001A7517"/>
    <w:rPr>
      <w:sz w:val="16"/>
      <w:szCs w:val="16"/>
    </w:rPr>
  </w:style>
  <w:style w:type="paragraph" w:styleId="CommentText">
    <w:name w:val="annotation text"/>
    <w:basedOn w:val="Normal"/>
    <w:link w:val="CommentTextChar"/>
    <w:uiPriority w:val="99"/>
    <w:unhideWhenUsed/>
    <w:rsid w:val="001A7517"/>
    <w:rPr>
      <w:szCs w:val="20"/>
    </w:rPr>
  </w:style>
  <w:style w:type="character" w:customStyle="1" w:styleId="CommentTextChar">
    <w:name w:val="Comment Text Char"/>
    <w:basedOn w:val="DefaultParagraphFont"/>
    <w:link w:val="CommentText"/>
    <w:uiPriority w:val="99"/>
    <w:rsid w:val="001A7517"/>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1A7517"/>
    <w:rPr>
      <w:b/>
      <w:bCs/>
    </w:rPr>
  </w:style>
  <w:style w:type="character" w:customStyle="1" w:styleId="CommentSubjectChar">
    <w:name w:val="Comment Subject Char"/>
    <w:basedOn w:val="CommentTextChar"/>
    <w:link w:val="CommentSubject"/>
    <w:uiPriority w:val="99"/>
    <w:semiHidden/>
    <w:rsid w:val="001A7517"/>
    <w:rPr>
      <w:rFonts w:ascii="Times New Roman" w:eastAsia="Calibri" w:hAnsi="Times New Roman"/>
      <w:b/>
      <w:bCs/>
    </w:rPr>
  </w:style>
  <w:style w:type="character" w:styleId="FollowedHyperlink">
    <w:name w:val="FollowedHyperlink"/>
    <w:basedOn w:val="DefaultParagraphFont"/>
    <w:uiPriority w:val="99"/>
    <w:semiHidden/>
    <w:unhideWhenUsed/>
    <w:rsid w:val="00D92BAC"/>
    <w:rPr>
      <w:color w:val="800080" w:themeColor="followedHyperlink"/>
      <w:u w:val="single"/>
    </w:rPr>
  </w:style>
  <w:style w:type="paragraph" w:styleId="Footer">
    <w:name w:val="footer"/>
    <w:basedOn w:val="Normal"/>
    <w:link w:val="FooterChar"/>
    <w:uiPriority w:val="99"/>
    <w:unhideWhenUsed/>
    <w:rsid w:val="00A02580"/>
    <w:pPr>
      <w:tabs>
        <w:tab w:val="center" w:pos="4513"/>
        <w:tab w:val="right" w:pos="9026"/>
      </w:tabs>
    </w:pPr>
  </w:style>
  <w:style w:type="character" w:customStyle="1" w:styleId="FooterChar">
    <w:name w:val="Footer Char"/>
    <w:basedOn w:val="DefaultParagraphFont"/>
    <w:link w:val="Footer"/>
    <w:uiPriority w:val="99"/>
    <w:rsid w:val="00A02580"/>
    <w:rPr>
      <w:rFonts w:ascii="Times New Roman" w:eastAsia="Calibri" w:hAnsi="Times New Roman"/>
      <w:szCs w:val="22"/>
    </w:rPr>
  </w:style>
  <w:style w:type="paragraph" w:styleId="Title">
    <w:name w:val="Title"/>
    <w:basedOn w:val="Normal"/>
    <w:next w:val="Normal"/>
    <w:link w:val="TitleChar"/>
    <w:uiPriority w:val="10"/>
    <w:qFormat/>
    <w:rsid w:val="003A7E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A7EA9"/>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3A7EA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A7EA9"/>
    <w:rPr>
      <w:rFonts w:asciiTheme="minorHAnsi" w:eastAsiaTheme="majorEastAsia" w:hAnsiTheme="minorHAnsi" w:cstheme="majorBidi"/>
      <w:color w:val="595959" w:themeColor="text1" w:themeTint="A6"/>
      <w:spacing w:val="15"/>
      <w:sz w:val="28"/>
      <w:szCs w:val="28"/>
      <w:lang w:eastAsia="en-US"/>
      <w14:ligatures w14:val="standardContextual"/>
    </w:rPr>
  </w:style>
  <w:style w:type="paragraph" w:styleId="Quote">
    <w:name w:val="Quote"/>
    <w:basedOn w:val="Normal"/>
    <w:next w:val="Normal"/>
    <w:link w:val="QuoteChar"/>
    <w:uiPriority w:val="29"/>
    <w:qFormat/>
    <w:rsid w:val="003A7EA9"/>
    <w:pPr>
      <w:spacing w:before="160" w:after="160" w:line="259" w:lineRule="auto"/>
      <w:jc w:val="center"/>
    </w:pPr>
    <w:rPr>
      <w:rFonts w:asciiTheme="minorHAnsi" w:eastAsiaTheme="minorHAnsi" w:hAnsiTheme="minorHAnsi" w:cstheme="minorBidi"/>
      <w:i/>
      <w:iCs/>
      <w:color w:val="404040" w:themeColor="text1" w:themeTint="BF"/>
      <w:sz w:val="22"/>
      <w:lang w:eastAsia="en-US"/>
      <w14:ligatures w14:val="standardContextual"/>
    </w:rPr>
  </w:style>
  <w:style w:type="character" w:customStyle="1" w:styleId="QuoteChar">
    <w:name w:val="Quote Char"/>
    <w:basedOn w:val="DefaultParagraphFont"/>
    <w:link w:val="Quote"/>
    <w:uiPriority w:val="29"/>
    <w:rsid w:val="003A7EA9"/>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IntenseEmphasis">
    <w:name w:val="Intense Emphasis"/>
    <w:basedOn w:val="DefaultParagraphFont"/>
    <w:uiPriority w:val="21"/>
    <w:qFormat/>
    <w:rsid w:val="003A7EA9"/>
    <w:rPr>
      <w:i/>
      <w:iCs/>
      <w:color w:val="365F91" w:themeColor="accent1" w:themeShade="BF"/>
    </w:rPr>
  </w:style>
  <w:style w:type="paragraph" w:styleId="IntenseQuote">
    <w:name w:val="Intense Quote"/>
    <w:basedOn w:val="Normal"/>
    <w:next w:val="Normal"/>
    <w:link w:val="IntenseQuoteChar"/>
    <w:uiPriority w:val="30"/>
    <w:qFormat/>
    <w:rsid w:val="003A7EA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eastAsia="en-US"/>
      <w14:ligatures w14:val="standardContextual"/>
    </w:rPr>
  </w:style>
  <w:style w:type="character" w:customStyle="1" w:styleId="IntenseQuoteChar">
    <w:name w:val="Intense Quote Char"/>
    <w:basedOn w:val="DefaultParagraphFont"/>
    <w:link w:val="IntenseQuote"/>
    <w:uiPriority w:val="30"/>
    <w:rsid w:val="003A7EA9"/>
    <w:rPr>
      <w:rFonts w:asciiTheme="minorHAnsi" w:eastAsiaTheme="minorHAnsi" w:hAnsiTheme="minorHAnsi" w:cstheme="minorBidi"/>
      <w:i/>
      <w:iCs/>
      <w:color w:val="365F91" w:themeColor="accent1" w:themeShade="BF"/>
      <w:sz w:val="22"/>
      <w:szCs w:val="22"/>
      <w:lang w:eastAsia="en-US"/>
      <w14:ligatures w14:val="standardContextual"/>
    </w:rPr>
  </w:style>
  <w:style w:type="character" w:styleId="IntenseReference">
    <w:name w:val="Intense Reference"/>
    <w:basedOn w:val="DefaultParagraphFont"/>
    <w:uiPriority w:val="32"/>
    <w:qFormat/>
    <w:rsid w:val="003A7EA9"/>
    <w:rPr>
      <w:b/>
      <w:bCs/>
      <w:smallCaps/>
      <w:color w:val="365F91" w:themeColor="accent1" w:themeShade="BF"/>
      <w:spacing w:val="5"/>
    </w:rPr>
  </w:style>
  <w:style w:type="paragraph" w:styleId="FootnoteText">
    <w:name w:val="footnote text"/>
    <w:basedOn w:val="Normal"/>
    <w:link w:val="FootnoteTextChar"/>
    <w:uiPriority w:val="99"/>
    <w:semiHidden/>
    <w:unhideWhenUsed/>
    <w:rsid w:val="003A7EA9"/>
    <w:rPr>
      <w:rFonts w:asciiTheme="minorHAnsi" w:eastAsiaTheme="minorHAnsi" w:hAnsiTheme="minorHAnsi" w:cstheme="minorBidi"/>
      <w:szCs w:val="20"/>
      <w:lang w:eastAsia="en-US"/>
      <w14:ligatures w14:val="standardContextual"/>
    </w:rPr>
  </w:style>
  <w:style w:type="character" w:customStyle="1" w:styleId="FootnoteTextChar">
    <w:name w:val="Footnote Text Char"/>
    <w:basedOn w:val="DefaultParagraphFont"/>
    <w:link w:val="FootnoteText"/>
    <w:uiPriority w:val="99"/>
    <w:semiHidden/>
    <w:rsid w:val="003A7EA9"/>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3A7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 w:id="1559783065">
          <w:marLeft w:val="0"/>
          <w:marRight w:val="0"/>
          <w:marTop w:val="0"/>
          <w:marBottom w:val="0"/>
          <w:divBdr>
            <w:top w:val="none" w:sz="0" w:space="0" w:color="auto"/>
            <w:left w:val="none" w:sz="0" w:space="0" w:color="auto"/>
            <w:bottom w:val="none" w:sz="0" w:space="0" w:color="auto"/>
            <w:right w:val="none" w:sz="0" w:space="0" w:color="auto"/>
          </w:divBdr>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griffitheduau-my.sharepoint.com/personal/r_wren_griffith_edu_au/Documents/Data%20for%20artic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ATAR stream– all 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Sheet1!$A$14:$A$17</c:f>
              <c:strCache>
                <c:ptCount val="4"/>
                <c:pt idx="0">
                  <c:v>QLD - 51,502 Year 12s</c:v>
                </c:pt>
                <c:pt idx="1">
                  <c:v>NSW -74,300 Year 12s</c:v>
                </c:pt>
                <c:pt idx="2">
                  <c:v>WA- 14,448 Year 12s</c:v>
                </c:pt>
                <c:pt idx="3">
                  <c:v>VIC - 62,223 Year 12s</c:v>
                </c:pt>
              </c:strCache>
            </c:strRef>
          </c:cat>
          <c:val>
            <c:numRef>
              <c:f>Sheet1!$B$14:$B$17</c:f>
              <c:numCache>
                <c:formatCode>0%</c:formatCode>
                <c:ptCount val="4"/>
                <c:pt idx="0">
                  <c:v>0.53</c:v>
                </c:pt>
                <c:pt idx="1">
                  <c:v>0.73</c:v>
                </c:pt>
                <c:pt idx="2">
                  <c:v>0.31</c:v>
                </c:pt>
                <c:pt idx="3">
                  <c:v>0.71</c:v>
                </c:pt>
              </c:numCache>
            </c:numRef>
          </c:val>
          <c:extLst>
            <c:ext xmlns:c16="http://schemas.microsoft.com/office/drawing/2014/chart" uri="{C3380CC4-5D6E-409C-BE32-E72D297353CC}">
              <c16:uniqueId val="{00000000-7AF6-427B-A713-0294387826EB}"/>
            </c:ext>
          </c:extLst>
        </c:ser>
        <c:ser>
          <c:idx val="1"/>
          <c:order val="1"/>
          <c:tx>
            <c:strRef>
              <c:f>Sheet1!$C$13</c:f>
              <c:strCache>
                <c:ptCount val="1"/>
                <c:pt idx="0">
                  <c:v>ATAR stream– Indigenous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Sheet1!$A$14:$A$17</c:f>
              <c:strCache>
                <c:ptCount val="4"/>
                <c:pt idx="0">
                  <c:v>QLD - 51,502 Year 12s</c:v>
                </c:pt>
                <c:pt idx="1">
                  <c:v>NSW -74,300 Year 12s</c:v>
                </c:pt>
                <c:pt idx="2">
                  <c:v>WA- 14,448 Year 12s</c:v>
                </c:pt>
                <c:pt idx="3">
                  <c:v>VIC - 62,223 Year 12s</c:v>
                </c:pt>
              </c:strCache>
            </c:strRef>
          </c:cat>
          <c:val>
            <c:numRef>
              <c:f>Sheet1!$C$14:$C$17</c:f>
              <c:numCache>
                <c:formatCode>0%</c:formatCode>
                <c:ptCount val="4"/>
                <c:pt idx="1">
                  <c:v>0.4</c:v>
                </c:pt>
                <c:pt idx="2">
                  <c:v>0.06</c:v>
                </c:pt>
                <c:pt idx="3">
                  <c:v>0.44</c:v>
                </c:pt>
              </c:numCache>
            </c:numRef>
          </c:val>
          <c:extLst>
            <c:ext xmlns:c16="http://schemas.microsoft.com/office/drawing/2014/chart" uri="{C3380CC4-5D6E-409C-BE32-E72D297353CC}">
              <c16:uniqueId val="{00000001-7AF6-427B-A713-0294387826EB}"/>
            </c:ext>
          </c:extLst>
        </c:ser>
        <c:dLbls>
          <c:showLegendKey val="0"/>
          <c:showVal val="0"/>
          <c:showCatName val="0"/>
          <c:showSerName val="0"/>
          <c:showPercent val="0"/>
          <c:showBubbleSize val="0"/>
        </c:dLbls>
        <c:gapWidth val="219"/>
        <c:overlap val="-27"/>
        <c:axId val="575134800"/>
        <c:axId val="575135880"/>
      </c:barChart>
      <c:catAx>
        <c:axId val="57513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baseline="0">
                    <a:latin typeface="Times New Roman" panose="02020603050405020304" pitchFamily="18" charset="0"/>
                    <a:cs typeface="Times New Roman" panose="02020603050405020304" pitchFamily="18" charset="0"/>
                  </a:rPr>
                  <a:t>Australian States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5135880"/>
        <c:crosses val="autoZero"/>
        <c:auto val="1"/>
        <c:lblAlgn val="ctr"/>
        <c:lblOffset val="100"/>
        <c:noMultiLvlLbl val="0"/>
      </c:catAx>
      <c:valAx>
        <c:axId val="575135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AU" baseline="0">
                    <a:latin typeface="Times New Roman" panose="02020603050405020304" pitchFamily="18" charset="0"/>
                    <a:cs typeface="Times New Roman" panose="02020603050405020304" pitchFamily="18" charset="0"/>
                  </a:rPr>
                  <a:t>Percentage of students in ATAR streams </a:t>
                </a:r>
              </a:p>
            </c:rich>
          </c:tx>
          <c:layout>
            <c:manualLayout>
              <c:xMode val="edge"/>
              <c:yMode val="edge"/>
              <c:x val="1.634559252772913E-2"/>
              <c:y val="8.835939828851033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513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56972</CharactersWithSpaces>
  <SharedDoc>false</SharedDoc>
  <HLinks>
    <vt:vector size="36" baseType="variant">
      <vt:variant>
        <vt:i4>4849713</vt:i4>
      </vt:variant>
      <vt:variant>
        <vt:i4>6</vt:i4>
      </vt:variant>
      <vt:variant>
        <vt:i4>0</vt:i4>
      </vt:variant>
      <vt:variant>
        <vt:i4>5</vt:i4>
      </vt:variant>
      <vt:variant>
        <vt:lpwstr>https://thewest.com.au/opinion/dismiss-median-atar-as-indicator-of-school-performance-and-increase-atar-course-participation-c-9821682?utm_source=chatgpt.com</vt:lpwstr>
      </vt:variant>
      <vt:variant>
        <vt:lpwstr/>
      </vt:variant>
      <vt:variant>
        <vt:i4>6750261</vt:i4>
      </vt:variant>
      <vt:variant>
        <vt:i4>3</vt:i4>
      </vt:variant>
      <vt:variant>
        <vt:i4>0</vt:i4>
      </vt:variant>
      <vt:variant>
        <vt:i4>5</vt:i4>
      </vt:variant>
      <vt:variant>
        <vt:lpwstr>https://www.aihw.gov.au/reports/australias-welfare/indigenous-education-and-skills</vt:lpwstr>
      </vt:variant>
      <vt:variant>
        <vt:lpwstr/>
      </vt:variant>
      <vt:variant>
        <vt:i4>5505051</vt:i4>
      </vt:variant>
      <vt:variant>
        <vt:i4>0</vt:i4>
      </vt:variant>
      <vt:variant>
        <vt:i4>0</vt:i4>
      </vt:variant>
      <vt:variant>
        <vt:i4>5</vt:i4>
      </vt:variant>
      <vt:variant>
        <vt:lpwstr>https://www.education.gov.au/review-inform-better-and-fairer-education-system/resources/expert-panels-report</vt:lpwstr>
      </vt:variant>
      <vt:variant>
        <vt:lpwstr/>
      </vt:variant>
      <vt:variant>
        <vt:i4>6750321</vt:i4>
      </vt:variant>
      <vt:variant>
        <vt:i4>6</vt:i4>
      </vt:variant>
      <vt:variant>
        <vt:i4>0</vt:i4>
      </vt:variant>
      <vt:variant>
        <vt:i4>5</vt:i4>
      </vt:variant>
      <vt:variant>
        <vt:lpwstr>https://qed.qld.gov.au/our-publications/reports/statistics/documents/ns-2023-statewide-summary.pdf</vt:lpwstr>
      </vt:variant>
      <vt:variant>
        <vt:lpwstr/>
      </vt:variant>
      <vt:variant>
        <vt:i4>6619168</vt:i4>
      </vt:variant>
      <vt:variant>
        <vt:i4>3</vt:i4>
      </vt:variant>
      <vt:variant>
        <vt:i4>0</vt:i4>
      </vt:variant>
      <vt:variant>
        <vt:i4>5</vt:i4>
      </vt:variant>
      <vt:variant>
        <vt:lpwstr>https://www.jobsandskills.gov.au/vet-national-data-asset/dashboard/2019-20</vt:lpwstr>
      </vt:variant>
      <vt:variant>
        <vt:lpwstr/>
      </vt:variant>
      <vt:variant>
        <vt:i4>6750261</vt:i4>
      </vt:variant>
      <vt:variant>
        <vt:i4>0</vt:i4>
      </vt:variant>
      <vt:variant>
        <vt:i4>0</vt:i4>
      </vt:variant>
      <vt:variant>
        <vt:i4>5</vt:i4>
      </vt:variant>
      <vt:variant>
        <vt:lpwstr>https://www.aihw.gov.au/reports/australias-welfare/indigenous-education-and-skills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2</cp:revision>
  <cp:lastPrinted>2026-03-03T02:58:00Z</cp:lastPrinted>
  <dcterms:created xsi:type="dcterms:W3CDTF">2026-07-01T03:41:00Z</dcterms:created>
  <dcterms:modified xsi:type="dcterms:W3CDTF">2026-07-01T03:41:00Z</dcterms:modified>
</cp:coreProperties>
</file>