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6BC7" w14:textId="38B60D22" w:rsidR="002022FE" w:rsidRPr="00DC44E3" w:rsidRDefault="0020595F" w:rsidP="0014562E">
      <w:pPr>
        <w:pStyle w:val="JANZSSAArticlehead"/>
      </w:pPr>
      <w:bookmarkStart w:id="0" w:name="_Hlk24277369"/>
      <w:r w:rsidRPr="0020595F">
        <w:t>Applying the MIMIC Model to Assess the Impact of Sociodemographic Background on Students’ College Belongingness</w:t>
      </w:r>
    </w:p>
    <w:p w14:paraId="453DB4AF" w14:textId="557F6553" w:rsidR="0020595F" w:rsidRDefault="0020595F" w:rsidP="0020595F">
      <w:pPr>
        <w:pStyle w:val="JANZSSAAuthor"/>
        <w:spacing w:before="240"/>
      </w:pPr>
      <w:proofErr w:type="spellStart"/>
      <w:r>
        <w:t>R</w:t>
      </w:r>
      <w:r w:rsidR="00584D6A">
        <w:t>achmawati</w:t>
      </w:r>
      <w:proofErr w:type="spellEnd"/>
      <w:r>
        <w:t xml:space="preserve"> </w:t>
      </w:r>
      <w:proofErr w:type="spellStart"/>
      <w:r>
        <w:t>Rachmawati</w:t>
      </w:r>
      <w:proofErr w:type="spellEnd"/>
    </w:p>
    <w:p w14:paraId="6B497982" w14:textId="77777777" w:rsidR="0020595F" w:rsidRDefault="0020595F" w:rsidP="0020595F">
      <w:pPr>
        <w:pStyle w:val="JANZSSAAuthor"/>
      </w:pPr>
      <w:r>
        <w:t xml:space="preserve">Amalia </w:t>
      </w:r>
      <w:proofErr w:type="spellStart"/>
      <w:r>
        <w:t>Juniarly</w:t>
      </w:r>
      <w:proofErr w:type="spellEnd"/>
    </w:p>
    <w:p w14:paraId="6EC1B438" w14:textId="77777777" w:rsidR="0020595F" w:rsidRDefault="0020595F" w:rsidP="0020595F">
      <w:pPr>
        <w:pStyle w:val="JANZSSAAuthor"/>
        <w:spacing w:after="120"/>
      </w:pPr>
      <w:r>
        <w:t xml:space="preserve">Indra </w:t>
      </w:r>
      <w:proofErr w:type="spellStart"/>
      <w:r>
        <w:t>Prapto</w:t>
      </w:r>
      <w:proofErr w:type="spellEnd"/>
      <w:r>
        <w:t xml:space="preserve"> Nugroho</w:t>
      </w:r>
      <w:r w:rsidRPr="00A667F6">
        <w:t xml:space="preserve"> </w:t>
      </w:r>
    </w:p>
    <w:p w14:paraId="2E0D9988" w14:textId="77777777" w:rsidR="0020595F" w:rsidRDefault="0020595F" w:rsidP="0020595F">
      <w:pPr>
        <w:pStyle w:val="JANZSSAAuthor"/>
        <w:spacing w:after="240"/>
        <w:rPr>
          <w:b/>
          <w:bCs/>
        </w:rPr>
      </w:pPr>
      <w:r w:rsidRPr="0020595F">
        <w:t xml:space="preserve">Sriwijaya University, Palembang, Indonesia </w:t>
      </w:r>
    </w:p>
    <w:p w14:paraId="77EEC052" w14:textId="7098B967" w:rsidR="002022FE" w:rsidRPr="00DC44E3" w:rsidRDefault="002022FE" w:rsidP="00BB7D85">
      <w:pPr>
        <w:pStyle w:val="JANZSSAHeading1"/>
      </w:pPr>
      <w:r w:rsidRPr="00DC44E3">
        <w:t>Abstract</w:t>
      </w:r>
      <w:r w:rsidR="00D50C70">
        <w:t xml:space="preserve"> </w:t>
      </w:r>
    </w:p>
    <w:p w14:paraId="406B68EA" w14:textId="0E6A6E04" w:rsidR="0005549E" w:rsidRPr="00DC44E3" w:rsidRDefault="0020595F" w:rsidP="0005549E">
      <w:pPr>
        <w:pStyle w:val="JANZSSAAbstractBody"/>
        <w:rPr>
          <w:rtl/>
        </w:rPr>
      </w:pPr>
      <w:r w:rsidRPr="0020595F">
        <w:t>This study examines how students' sociodemographic backgrounds influence their sense of college belongingness—a multidimensional psychological construct associated with students' integration into university life, academic success, and retention. Anchored in Tinto's Student Integration Theory, the research investigates the predictive roles of four sociodemographic factors: region of origin, parental education, distance from residence to campus, and living arrangement. These variables were categori</w:t>
      </w:r>
      <w:r w:rsidR="00C843B8">
        <w:t>s</w:t>
      </w:r>
      <w:r w:rsidRPr="0020595F">
        <w:t>ed and treated as covariates within the analytical framework. The researchers assessed college belongingness as a latent variable using the College Belongingness Questionnaire (CBQ), which they adapted into Indonesian. Validation of the 10-item CBQ instrument using Aiken's V index and confirmatory factor analysis showed that all items met the criteria for content validity, construct validity, and reliability. The Multiple Indicators and Multiple Causes (MIMIC) model, a form of structural equation modeling suited for testing latent constructs influenced by observed covariate variables, were employed to analy</w:t>
      </w:r>
      <w:r w:rsidR="00C843B8">
        <w:t>s</w:t>
      </w:r>
      <w:r w:rsidRPr="0020595F">
        <w:t>e the data. A total of 400 undergraduate students from a public university in South Sumatra, Indonesia participated in the data collection conducted by the researchers. A non-probability sampling method, specifically convenience sampling, was employed to recruit participants. The findings indicate that students' region of origin significantly predicts both social inclusion and social exclusion dimensions of college belongingness. Distance from residence to campus was also a significant predictor, though only for social inclusion. Conversely, parental education and type of living arrangement did not significantly predict either dimension. These findings highlight the importance of considering regional background and commuting distance when designing student</w:t>
      </w:r>
      <w:r w:rsidR="00DD6D7F">
        <w:t xml:space="preserve"> </w:t>
      </w:r>
      <w:r w:rsidRPr="0020595F">
        <w:t>support, transition, and engagement programs. The study contributes to higher education practice by identifying sociodemographic factors that may place students at risk of reduced belongingness and, therefore, potentially higher dropout vulnerability.</w:t>
      </w:r>
    </w:p>
    <w:p w14:paraId="69A95873" w14:textId="77777777" w:rsidR="00683B3B" w:rsidRPr="00571F4B" w:rsidRDefault="002022FE" w:rsidP="00BB7D85">
      <w:pPr>
        <w:pStyle w:val="JANZSSAHeading1"/>
      </w:pPr>
      <w:r w:rsidRPr="00571F4B">
        <w:t>Keywords</w:t>
      </w:r>
    </w:p>
    <w:p w14:paraId="137EAC5C" w14:textId="2465376F" w:rsidR="00D6009D" w:rsidRPr="006A0AF4" w:rsidRDefault="0020595F" w:rsidP="00176032">
      <w:pPr>
        <w:pStyle w:val="JANZSSABodycopy"/>
      </w:pPr>
      <w:r w:rsidRPr="0020595F">
        <w:t>College belongingness; MIMIC model; Social inclusion; Social exclusion; Sociodemographic</w:t>
      </w:r>
      <w:r>
        <w:t>.</w:t>
      </w:r>
    </w:p>
    <w:p w14:paraId="174B0D12" w14:textId="77777777" w:rsidR="00B40AA2" w:rsidRPr="00DC44E3" w:rsidRDefault="00B40AA2" w:rsidP="00B40AA2">
      <w:pPr>
        <w:pStyle w:val="JANZSSAHeading1"/>
      </w:pPr>
      <w:r>
        <w:t xml:space="preserve">Introduction </w:t>
      </w:r>
    </w:p>
    <w:p w14:paraId="0DF58C77" w14:textId="200C92BF" w:rsidR="00B107AA" w:rsidRPr="00B107AA" w:rsidRDefault="00B107AA" w:rsidP="00F324F7">
      <w:pPr>
        <w:pStyle w:val="JANZSSABodycopy"/>
        <w:rPr>
          <w:lang w:val="en-ID"/>
        </w:rPr>
      </w:pPr>
      <w:r w:rsidRPr="00B107AA">
        <w:rPr>
          <w:lang w:val="en-ID"/>
        </w:rPr>
        <w:t>According to the Ministry of Education, Culture, Research, and Technology (2023), the dropout rate in Indonesia</w:t>
      </w:r>
      <w:r w:rsidR="003175BE">
        <w:rPr>
          <w:lang w:val="en-ID"/>
        </w:rPr>
        <w:t>n higher education</w:t>
      </w:r>
      <w:r w:rsidRPr="00B107AA">
        <w:rPr>
          <w:lang w:val="en-ID"/>
        </w:rPr>
        <w:t xml:space="preserve"> in 2021 reached 352,494 students, or 3.60% of the total student population. Students drop out at all levels of higher education due to various reasons, including exceeding the permitted study duration, academic dismissal, or voluntary withdrawal. Although the Indonesian government and universities have implemented several initiatives to address this issue, unfortunately, they have primarily focused on economic solutions, such as providing scholarships and reducing tuition fees. However, psychological aspects also significantly influence student dropout behavior, including college belongingness. Numerous studies have supported this ass</w:t>
      </w:r>
      <w:r w:rsidR="00914D0C">
        <w:rPr>
          <w:lang w:val="en-ID"/>
        </w:rPr>
        <w:t>er</w:t>
      </w:r>
      <w:r w:rsidRPr="00B107AA">
        <w:rPr>
          <w:lang w:val="en-ID"/>
        </w:rPr>
        <w:t>tion by demonstrating that college belongingness has both direct and indirect effects on students' intention to drop out (Alkan, 201</w:t>
      </w:r>
      <w:r w:rsidR="0002333B">
        <w:rPr>
          <w:lang w:val="en-ID"/>
        </w:rPr>
        <w:t>6</w:t>
      </w:r>
      <w:r w:rsidRPr="00B107AA">
        <w:rPr>
          <w:lang w:val="en-ID"/>
        </w:rPr>
        <w:t xml:space="preserve">; Fourie, 2020; Kember et al., 2001; </w:t>
      </w:r>
      <w:proofErr w:type="spellStart"/>
      <w:r w:rsidRPr="00B107AA">
        <w:rPr>
          <w:lang w:val="en-ID"/>
        </w:rPr>
        <w:t>Menkor</w:t>
      </w:r>
      <w:proofErr w:type="spellEnd"/>
      <w:r w:rsidRPr="00B107AA">
        <w:rPr>
          <w:lang w:val="en-ID"/>
        </w:rPr>
        <w:t xml:space="preserve"> et al., 2021; Pedler et al., 2022; </w:t>
      </w:r>
      <w:proofErr w:type="spellStart"/>
      <w:r w:rsidRPr="00B107AA">
        <w:rPr>
          <w:lang w:val="en-ID"/>
        </w:rPr>
        <w:t>Suhlmann</w:t>
      </w:r>
      <w:proofErr w:type="spellEnd"/>
      <w:r w:rsidRPr="00B107AA">
        <w:rPr>
          <w:lang w:val="en-ID"/>
        </w:rPr>
        <w:t xml:space="preserve"> et al., 2018; Tinto, 1975).</w:t>
      </w:r>
    </w:p>
    <w:p w14:paraId="318D4ECC" w14:textId="3BCD7FC3" w:rsidR="00B107AA" w:rsidRPr="00B107AA" w:rsidRDefault="00B107AA" w:rsidP="00F324F7">
      <w:pPr>
        <w:pStyle w:val="JANZSSABodycopy"/>
        <w:rPr>
          <w:lang w:val="en-ID"/>
        </w:rPr>
      </w:pPr>
      <w:r w:rsidRPr="00B107AA">
        <w:rPr>
          <w:lang w:val="en-ID"/>
        </w:rPr>
        <w:t xml:space="preserve">Scholars define college belongingness as students’ subjective feelings of connection and integration with their institution and campus community (Gillen-O’Neel, 2019; Hoffman et al., 2002; Maunder, </w:t>
      </w:r>
      <w:r w:rsidRPr="00B107AA">
        <w:rPr>
          <w:lang w:val="en-ID"/>
        </w:rPr>
        <w:lastRenderedPageBreak/>
        <w:t>2017; Soria &amp; Stubblefield, 2015). Arslan (2021), meanwhile, conceptuali</w:t>
      </w:r>
      <w:r w:rsidR="00C843B8">
        <w:rPr>
          <w:lang w:val="en-ID"/>
        </w:rPr>
        <w:t>s</w:t>
      </w:r>
      <w:r w:rsidRPr="00B107AA">
        <w:rPr>
          <w:lang w:val="en-ID"/>
        </w:rPr>
        <w:t xml:space="preserve">es college belongingness </w:t>
      </w:r>
      <w:r w:rsidRPr="00A345F1">
        <w:rPr>
          <w:lang w:val="en-ID"/>
        </w:rPr>
        <w:t xml:space="preserve">based on the </w:t>
      </w:r>
      <w:r w:rsidR="00A345F1">
        <w:rPr>
          <w:lang w:val="en-ID"/>
        </w:rPr>
        <w:t>construct</w:t>
      </w:r>
      <w:r w:rsidRPr="00A345F1">
        <w:rPr>
          <w:lang w:val="en-ID"/>
        </w:rPr>
        <w:t xml:space="preserve"> of</w:t>
      </w:r>
      <w:r w:rsidRPr="00B107AA">
        <w:rPr>
          <w:lang w:val="en-ID"/>
        </w:rPr>
        <w:t xml:space="preserve"> school belongingness (Arslan &amp; Duru, 2017), which refers to the valued experience of involvement and the perceived fit between individuals and their environment—in this case, between students and their university. This definition also draws from earlier literature (Goodenow, 1993; Hagerty et al., 1992), which emphasi</w:t>
      </w:r>
      <w:r w:rsidR="00C843B8">
        <w:rPr>
          <w:lang w:val="en-ID"/>
        </w:rPr>
        <w:t>s</w:t>
      </w:r>
      <w:r w:rsidRPr="00B107AA">
        <w:rPr>
          <w:lang w:val="en-ID"/>
        </w:rPr>
        <w:t>es the importance of interaction and integration between students and the university, fostering a sense of being valued and appreciated. Successful integration fosters social inclusion, acceptance, and involvement, whereas failed integration leads to social exclusion and rejection (Arslan, 2021; Arslan &amp; Duru, 2017).</w:t>
      </w:r>
    </w:p>
    <w:p w14:paraId="53B86E9E" w14:textId="682A5A0C" w:rsidR="00B107AA" w:rsidRPr="00B107AA" w:rsidRDefault="00B107AA" w:rsidP="00F324F7">
      <w:pPr>
        <w:pStyle w:val="JANZSSABodycopy"/>
        <w:rPr>
          <w:lang w:val="en-ID"/>
        </w:rPr>
      </w:pPr>
      <w:r w:rsidRPr="00B107AA">
        <w:rPr>
          <w:lang w:val="en-ID"/>
        </w:rPr>
        <w:t>According to Tinto's Student Integration Theory (Tinto, 1993), integration may be academic or social. Students who successfully integrate into the academic system demonstrate strong academic performance and intellectual development. Meanwhile, students who effectively integrate into the campus social system tend to interact positively with peers, groups, staff, faculty members, and the institution. When students fail to integrate into the academic and social systems, this failure may lead to dissatisfaction and poor adjustment, ultimately resulting in dropout (Kim, 2022). Student Integration Theory also posits that, before entering higher education, students bring a set of attributes, pre-college experiences, and family backgrounds that can directly or indirectly influence their performance in university (Tinto, 1993). Implicitly, this theory suggests that such attributes, experiences, and family backgrounds also affect students' integration and sense of college belongingness.</w:t>
      </w:r>
    </w:p>
    <w:p w14:paraId="5DADD932" w14:textId="34D4CDFD" w:rsidR="00B107AA" w:rsidRPr="00B107AA" w:rsidRDefault="00B107AA" w:rsidP="00F324F7">
      <w:pPr>
        <w:pStyle w:val="JANZSSABodycopy"/>
        <w:rPr>
          <w:lang w:val="en-ID"/>
        </w:rPr>
      </w:pPr>
      <w:r w:rsidRPr="00B107AA">
        <w:rPr>
          <w:lang w:val="en-ID"/>
        </w:rPr>
        <w:t>A systematic literature review conducted by Dias-</w:t>
      </w:r>
      <w:proofErr w:type="spellStart"/>
      <w:r w:rsidRPr="00B107AA">
        <w:rPr>
          <w:lang w:val="en-ID"/>
        </w:rPr>
        <w:t>Broens</w:t>
      </w:r>
      <w:proofErr w:type="spellEnd"/>
      <w:r w:rsidRPr="00B107AA">
        <w:rPr>
          <w:lang w:val="en-ID"/>
        </w:rPr>
        <w:t xml:space="preserve"> et al. (2024) found that ethnicity and generational status are among the </w:t>
      </w:r>
      <w:proofErr w:type="gramStart"/>
      <w:r w:rsidRPr="00B107AA">
        <w:rPr>
          <w:lang w:val="en-ID"/>
        </w:rPr>
        <w:t>most commonly examined</w:t>
      </w:r>
      <w:proofErr w:type="gramEnd"/>
      <w:r w:rsidRPr="00B107AA">
        <w:rPr>
          <w:lang w:val="en-ID"/>
        </w:rPr>
        <w:t xml:space="preserve"> background factors in studies of college belongingness. However, ethnic issues in Indonesia do not exhibit the same urgency as those in developed countries such as several European nations and the United States. In those countries, a history of racial discrimination and social segregation has significantly shaped students' experiences in higher education. In the Indonesian context, regional diversity brings variations in language, norms, culture, traditions, and customs—dimensions that mirror ethnic diversity in other countries. Therefore, this study focuses on students' regional origin, which is considered more relevant in the Indonesian setting. </w:t>
      </w:r>
      <w:proofErr w:type="spellStart"/>
      <w:r w:rsidRPr="00B107AA">
        <w:rPr>
          <w:lang w:val="en-ID"/>
        </w:rPr>
        <w:t>Ostini</w:t>
      </w:r>
      <w:proofErr w:type="spellEnd"/>
      <w:r w:rsidRPr="00B107AA">
        <w:rPr>
          <w:lang w:val="en-ID"/>
        </w:rPr>
        <w:t xml:space="preserve"> et al. (2020) argue that students from rural or remote areas often perceive themselves as “outsiders” within the university setting. This outsider status reduces their social inclusion and diminishes their sense of college belongingness. Similarly, Dawson et al. (2013) noted that students from different demographic backgrounds, such as rural, regional, and remote areas, may experience reduced social and emotional belonging in university settings.</w:t>
      </w:r>
    </w:p>
    <w:p w14:paraId="486580CC" w14:textId="3DEBAD28" w:rsidR="00B107AA" w:rsidRPr="00B107AA" w:rsidRDefault="00B107AA" w:rsidP="00F324F7">
      <w:pPr>
        <w:pStyle w:val="JANZSSABodycopy"/>
        <w:rPr>
          <w:lang w:val="en-ID"/>
        </w:rPr>
      </w:pPr>
      <w:r w:rsidRPr="00B107AA">
        <w:rPr>
          <w:lang w:val="en-ID"/>
        </w:rPr>
        <w:t>From a theoretical perspective, place attachment theory further elucidates why students’ regional origin may shape their early experiences of belongingness. The theory posits that emotional and geographic bonds to familiar environments develop through long-term residence and sustained social interaction (Altman &amp; Low, 1992; Scannell &amp; Gifford, 2010). When students relocate to a new setting—particularly one that differs geographically or culturally from their place of origin—they initially lack established attachment to that environment. This absence of prior attachment may hinder early social inclusion and delay the development of college belongingness during the transition to university life.</w:t>
      </w:r>
    </w:p>
    <w:p w14:paraId="3297A020" w14:textId="51E19E6F" w:rsidR="00B107AA" w:rsidRPr="00B107AA" w:rsidRDefault="00B107AA" w:rsidP="00F324F7">
      <w:pPr>
        <w:pStyle w:val="JANZSSABodycopy"/>
        <w:rPr>
          <w:lang w:val="en-ID"/>
        </w:rPr>
      </w:pPr>
      <w:r w:rsidRPr="00B107AA">
        <w:rPr>
          <w:lang w:val="en-ID"/>
        </w:rPr>
        <w:t xml:space="preserve">Parental education level can also function as a form of social capital that influences students' sense of college belongingness. Parents with higher education backgrounds generally possess a better understanding of the college system due to their own experiences. They also know colleges' academic performance expectations for students, enabling them to guide their children with practical strategies for succeeding in higher education. These insights and understandings are transferred to their children. In addition, they provide emotional support and foster a sense of confidence in their children. Conversely, students whose parents have not attained higher </w:t>
      </w:r>
      <w:r w:rsidRPr="00B107AA">
        <w:rPr>
          <w:lang w:val="en-ID"/>
        </w:rPr>
        <w:lastRenderedPageBreak/>
        <w:t xml:space="preserve">education—or first-generation college students—tend to be more vulnerable to feelings of alienation and face greater challenges in navigating academic life. Numerous studies conducted in countries such as Germany, France, </w:t>
      </w:r>
      <w:r w:rsidR="00381B11">
        <w:rPr>
          <w:lang w:val="en-ID"/>
        </w:rPr>
        <w:t xml:space="preserve">and </w:t>
      </w:r>
      <w:r w:rsidRPr="00B107AA">
        <w:rPr>
          <w:lang w:val="en-ID"/>
        </w:rPr>
        <w:t>the United States support this proposition</w:t>
      </w:r>
      <w:r w:rsidR="00CC2325">
        <w:rPr>
          <w:lang w:val="en-ID"/>
        </w:rPr>
        <w:t>,</w:t>
      </w:r>
      <w:r w:rsidRPr="00B107AA">
        <w:rPr>
          <w:lang w:val="en-ID"/>
        </w:rPr>
        <w:t xml:space="preserve"> showing first-generation college students exhibit lower levels of college belongingness compared to continuing-generation students</w:t>
      </w:r>
      <w:r w:rsidR="00A44793">
        <w:rPr>
          <w:lang w:val="en-ID"/>
        </w:rPr>
        <w:t>,</w:t>
      </w:r>
      <w:r w:rsidRPr="00B107AA">
        <w:rPr>
          <w:lang w:val="en-ID"/>
        </w:rPr>
        <w:t xml:space="preserve"> who have at least one parent with a college education (Gopalan &amp; Brady, 2020; Hausmann et al., 2009; Janke et al., 2024; Jury et al., 2017; Ostrove &amp; Long, 2007; Soria &amp; Stebleton, 2013). </w:t>
      </w:r>
    </w:p>
    <w:p w14:paraId="151BE6FB" w14:textId="31FB70DA" w:rsidR="00B107AA" w:rsidRPr="00B107AA" w:rsidRDefault="00B107AA" w:rsidP="00F324F7">
      <w:pPr>
        <w:pStyle w:val="JANZSSABodycopy"/>
        <w:rPr>
          <w:lang w:val="en-ID"/>
        </w:rPr>
      </w:pPr>
      <w:r w:rsidRPr="00B107AA">
        <w:rPr>
          <w:lang w:val="en-ID"/>
        </w:rPr>
        <w:t xml:space="preserve">Other studies suggest that the physical distance between a student's residence and the campus also influences college belongingness, particularly when learning is conducted on campus, as in this study. </w:t>
      </w:r>
      <w:r w:rsidR="00692AFA">
        <w:t xml:space="preserve">Drawing on </w:t>
      </w:r>
      <w:r w:rsidR="00692AFA">
        <w:rPr>
          <w:lang w:val="en-ID"/>
        </w:rPr>
        <w:t xml:space="preserve">National Survey of Student Engagement (NSSE) data, Sullivan (2013) found that students living within commuting distance of campus report lower-quality peer relationships than those residing on campus. </w:t>
      </w:r>
      <w:r w:rsidRPr="00B107AA">
        <w:rPr>
          <w:lang w:val="en-ID"/>
        </w:rPr>
        <w:t>This study highlights how residential distance can impact students' social engagement and affect their college belongingness. A mixed-methods study by Kirk and Lewis (2015) also found that commuter students (non-residential) tend to report lower levels of college belongingness than students living on or near campus. Low levels of college belongingness result from students' limited participation in extracurricular activities, which negatively affects their social and academic engagement. In line with these findings, a qualitative study by Pokorny et al. (2017) also demonstrated that students who travel to campus often struggle to develop a strong sense of college belongingness. Factors such as limited time spent on campus and minimal involvement in social activities contribute to their experiences of social exclusion.</w:t>
      </w:r>
    </w:p>
    <w:p w14:paraId="3A8CC4DC" w14:textId="09743A92" w:rsidR="00B107AA" w:rsidRPr="00B107AA" w:rsidRDefault="00B107AA" w:rsidP="00F324F7">
      <w:pPr>
        <w:pStyle w:val="JANZSSABodycopy"/>
        <w:rPr>
          <w:lang w:val="en-ID"/>
        </w:rPr>
      </w:pPr>
      <w:r w:rsidRPr="00B107AA">
        <w:rPr>
          <w:lang w:val="en-ID"/>
        </w:rPr>
        <w:t>Student living arrangement is also believed to influence college belongingness</w:t>
      </w:r>
      <w:r w:rsidR="00381B11">
        <w:rPr>
          <w:lang w:val="en-ID"/>
        </w:rPr>
        <w:t>.</w:t>
      </w:r>
      <w:r w:rsidRPr="00B107AA">
        <w:rPr>
          <w:lang w:val="en-ID"/>
        </w:rPr>
        <w:t xml:space="preserve"> Strayhorn (2019) emphasi</w:t>
      </w:r>
      <w:r w:rsidR="00C843B8">
        <w:rPr>
          <w:lang w:val="en-ID"/>
        </w:rPr>
        <w:t>s</w:t>
      </w:r>
      <w:r w:rsidRPr="00B107AA">
        <w:rPr>
          <w:lang w:val="en-ID"/>
        </w:rPr>
        <w:t>es that students’ living environments—where daily interactions with peers and significant others occur—serve as important social and developmental contexts that shape their emotional, social, and academic experiences and</w:t>
      </w:r>
      <w:r w:rsidR="00381B11">
        <w:rPr>
          <w:lang w:val="en-ID"/>
        </w:rPr>
        <w:t>,</w:t>
      </w:r>
      <w:r w:rsidRPr="00B107AA">
        <w:rPr>
          <w:lang w:val="en-ID"/>
        </w:rPr>
        <w:t xml:space="preserve"> ultimately</w:t>
      </w:r>
      <w:r w:rsidR="00381B11">
        <w:rPr>
          <w:lang w:val="en-ID"/>
        </w:rPr>
        <w:t>,</w:t>
      </w:r>
      <w:r w:rsidRPr="00B107AA">
        <w:rPr>
          <w:lang w:val="en-ID"/>
        </w:rPr>
        <w:t xml:space="preserve"> their sense of belonging. Dumford et al. (2019) </w:t>
      </w:r>
      <w:r w:rsidR="001F2096" w:rsidRPr="00B107AA">
        <w:rPr>
          <w:lang w:val="en-ID"/>
        </w:rPr>
        <w:t>us</w:t>
      </w:r>
      <w:r w:rsidR="001F2096">
        <w:rPr>
          <w:lang w:val="en-ID"/>
        </w:rPr>
        <w:t>ed</w:t>
      </w:r>
      <w:r w:rsidR="001F2096" w:rsidRPr="00B107AA">
        <w:rPr>
          <w:lang w:val="en-ID"/>
        </w:rPr>
        <w:t xml:space="preserve"> </w:t>
      </w:r>
      <w:r w:rsidRPr="00B107AA">
        <w:rPr>
          <w:lang w:val="en-ID"/>
        </w:rPr>
        <w:t>data from the 2014 NSSE</w:t>
      </w:r>
      <w:r w:rsidR="001F2096">
        <w:rPr>
          <w:lang w:val="en-ID"/>
        </w:rPr>
        <w:t xml:space="preserve"> to</w:t>
      </w:r>
      <w:r w:rsidR="001F2096" w:rsidRPr="00B107AA">
        <w:rPr>
          <w:lang w:val="en-ID"/>
        </w:rPr>
        <w:t xml:space="preserve"> </w:t>
      </w:r>
      <w:r w:rsidRPr="00B107AA">
        <w:rPr>
          <w:lang w:val="en-ID"/>
        </w:rPr>
        <w:t xml:space="preserve">examine whether students’ place of residence and the people </w:t>
      </w:r>
      <w:r w:rsidR="00B52A87">
        <w:rPr>
          <w:lang w:val="en-ID"/>
        </w:rPr>
        <w:t xml:space="preserve">with whom </w:t>
      </w:r>
      <w:r w:rsidRPr="00B107AA">
        <w:rPr>
          <w:lang w:val="en-ID"/>
        </w:rPr>
        <w:t>they live shape their sense of belonging on campus, both toward peers and the university. Their findings show that living with parents or relatives tends to reduce students’ social connectedness on campus, including both peer and institutional belonging. The study also found that living with a roommate offers greater social advantages compared with living alone. Other studies similarly indicate that students who live with their parents often experience greater financial and emotional stability due to increased parental support; however, they may have fewer spontaneous opportunities for campus engagement, particularly when commuting from home (Pokorny et al., 2017; Wilcox et al., 2005). Cook et al. (2021) also reported that students living independently in private rentals exhibit lower levels of social connectedness to the campus compared with those living with friends on campus.</w:t>
      </w:r>
    </w:p>
    <w:p w14:paraId="6817A6A2" w14:textId="490188AF" w:rsidR="00B107AA" w:rsidRPr="00B107AA" w:rsidRDefault="00B107AA" w:rsidP="00F324F7">
      <w:pPr>
        <w:pStyle w:val="JANZSSABodycopy"/>
        <w:rPr>
          <w:lang w:val="en-ID"/>
        </w:rPr>
      </w:pPr>
      <w:r w:rsidRPr="00B107AA">
        <w:rPr>
          <w:lang w:val="en-ID"/>
        </w:rPr>
        <w:t xml:space="preserve">Across these studies, it becomes evident that the operationalisation of the </w:t>
      </w:r>
      <w:r w:rsidRPr="004336A0">
        <w:rPr>
          <w:iCs w:val="0"/>
          <w:lang w:val="en-ID"/>
        </w:rPr>
        <w:t xml:space="preserve">living arrangement </w:t>
      </w:r>
      <w:r w:rsidRPr="00B107AA">
        <w:rPr>
          <w:lang w:val="en-ID"/>
        </w:rPr>
        <w:t xml:space="preserve">variable is often conflated between </w:t>
      </w:r>
      <w:r w:rsidRPr="00616E62">
        <w:rPr>
          <w:iCs w:val="0"/>
          <w:lang w:val="en-ID"/>
        </w:rPr>
        <w:t>who students live with</w:t>
      </w:r>
      <w:r w:rsidRPr="00B107AA">
        <w:rPr>
          <w:lang w:val="en-ID"/>
        </w:rPr>
        <w:t xml:space="preserve"> (e.g., parents, independently, or with relatives/friends) and </w:t>
      </w:r>
      <w:r w:rsidRPr="00616E62">
        <w:rPr>
          <w:iCs w:val="0"/>
          <w:lang w:val="en-ID"/>
        </w:rPr>
        <w:t>the type of housing t</w:t>
      </w:r>
      <w:r w:rsidRPr="00B107AA">
        <w:rPr>
          <w:lang w:val="en-ID"/>
        </w:rPr>
        <w:t xml:space="preserve">hey occupy (e.g., parental home, off-campus boarding or rental, or on-campus residence halls). This conflation obscures which factor more strongly influences college belongingness. Therefore, the present study aims to specifically examine the influence of </w:t>
      </w:r>
      <w:r w:rsidRPr="00616E62">
        <w:rPr>
          <w:iCs w:val="0"/>
          <w:lang w:val="en-ID"/>
        </w:rPr>
        <w:t>who students live with</w:t>
      </w:r>
      <w:r w:rsidRPr="00B107AA">
        <w:rPr>
          <w:lang w:val="en-ID"/>
        </w:rPr>
        <w:t xml:space="preserve"> on their college belongingness, thereby providing a clearer focus on the social-structural aspect of </w:t>
      </w:r>
      <w:r w:rsidR="00E74181">
        <w:rPr>
          <w:lang w:val="en-ID"/>
        </w:rPr>
        <w:t xml:space="preserve">the </w:t>
      </w:r>
      <w:r w:rsidRPr="00B107AA">
        <w:rPr>
          <w:lang w:val="en-ID"/>
        </w:rPr>
        <w:t>living arrangement without confounding it with physical housing characteristics.</w:t>
      </w:r>
    </w:p>
    <w:p w14:paraId="05D0BEFA" w14:textId="05DAF1EA" w:rsidR="00B107AA" w:rsidRPr="00B107AA" w:rsidRDefault="00B107AA" w:rsidP="00F324F7">
      <w:pPr>
        <w:pStyle w:val="JANZSSABodycopy"/>
        <w:rPr>
          <w:lang w:val="en-ID"/>
        </w:rPr>
      </w:pPr>
      <w:r w:rsidRPr="00B107AA">
        <w:rPr>
          <w:lang w:val="en-ID"/>
        </w:rPr>
        <w:t xml:space="preserve">The </w:t>
      </w:r>
      <w:proofErr w:type="gramStart"/>
      <w:r w:rsidRPr="00B107AA">
        <w:rPr>
          <w:lang w:val="en-ID"/>
        </w:rPr>
        <w:t>aforementioned studies</w:t>
      </w:r>
      <w:proofErr w:type="gramEnd"/>
      <w:r w:rsidRPr="00B107AA">
        <w:rPr>
          <w:lang w:val="en-ID"/>
        </w:rPr>
        <w:t xml:space="preserve"> on four student sociodemographic </w:t>
      </w:r>
      <w:r w:rsidR="00616E62">
        <w:rPr>
          <w:lang w:val="en-ID"/>
        </w:rPr>
        <w:t>factor</w:t>
      </w:r>
      <w:r w:rsidRPr="00B107AA">
        <w:rPr>
          <w:lang w:val="en-ID"/>
        </w:rPr>
        <w:t xml:space="preserve">s—regional origin, parental education level, residential distance from campus, and living arrangement—demonstrate their respective influences on college belongingness. However, these studies were conducted separately and involved different populations. The present study aims to examine these four sociodemographic </w:t>
      </w:r>
      <w:r w:rsidRPr="00B107AA">
        <w:rPr>
          <w:lang w:val="en-ID"/>
        </w:rPr>
        <w:lastRenderedPageBreak/>
        <w:t>variables simultaneously by categori</w:t>
      </w:r>
      <w:r w:rsidR="00C843B8">
        <w:rPr>
          <w:lang w:val="en-ID"/>
        </w:rPr>
        <w:t>s</w:t>
      </w:r>
      <w:r w:rsidRPr="00B107AA">
        <w:rPr>
          <w:lang w:val="en-ID"/>
        </w:rPr>
        <w:t>ing the data and treating them as observable, categorical covariates to investigate their influence on students' college belongingness. One analytical approach suitable for examining the effects of multiple covariate variables simultaneously is the Multiple Indicators and Multiple Causes (MIMIC) model.</w:t>
      </w:r>
    </w:p>
    <w:p w14:paraId="5B06C451" w14:textId="43562356" w:rsidR="00B107AA" w:rsidRPr="0035494D" w:rsidRDefault="00B107AA" w:rsidP="0035494D">
      <w:pPr>
        <w:pStyle w:val="JANZSSAHeading1"/>
        <w:rPr>
          <w:lang w:val="en-ID" w:bidi="fa-IR"/>
        </w:rPr>
      </w:pPr>
      <w:r w:rsidRPr="00B107AA">
        <w:rPr>
          <w:lang w:val="en-ID" w:bidi="fa-IR"/>
        </w:rPr>
        <w:t>Methods</w:t>
      </w:r>
    </w:p>
    <w:p w14:paraId="60295C6B" w14:textId="5A967BB9" w:rsidR="00B107AA" w:rsidRPr="0035494D" w:rsidRDefault="00B107AA" w:rsidP="0035494D">
      <w:pPr>
        <w:pStyle w:val="JANZSSAHeading2"/>
        <w:rPr>
          <w:lang w:bidi="fa-IR"/>
        </w:rPr>
      </w:pPr>
      <w:r w:rsidRPr="00B107AA">
        <w:rPr>
          <w:lang w:bidi="fa-IR"/>
        </w:rPr>
        <w:t>Participants</w:t>
      </w:r>
    </w:p>
    <w:p w14:paraId="6F68C1D1" w14:textId="4FA5C741" w:rsidR="00B107AA" w:rsidRPr="00B107AA" w:rsidRDefault="00B107AA" w:rsidP="00F324F7">
      <w:pPr>
        <w:pStyle w:val="JANZSSABodycopy"/>
        <w:rPr>
          <w:lang w:val="en-ID"/>
        </w:rPr>
      </w:pPr>
      <w:r w:rsidRPr="00B107AA">
        <w:rPr>
          <w:lang w:val="en-ID"/>
        </w:rPr>
        <w:t>Four hundred undergraduate students from a public university in Palembang City, South Sumatra, Indonesia participated in this study. The researchers included only participants who were actively enrolled and aged between 18 and 23. A non-probability sampling technique, specifically convenience sampling, was used to recruit participants.</w:t>
      </w:r>
    </w:p>
    <w:p w14:paraId="5A007A2B" w14:textId="3B7F4CD7" w:rsidR="00B107AA" w:rsidRPr="00B107AA" w:rsidRDefault="00B107AA" w:rsidP="00F324F7">
      <w:pPr>
        <w:pStyle w:val="JANZSSABodycopy"/>
        <w:rPr>
          <w:lang w:val="en-ID"/>
        </w:rPr>
      </w:pPr>
      <w:r w:rsidRPr="00B107AA">
        <w:rPr>
          <w:lang w:val="en-ID"/>
        </w:rPr>
        <w:t xml:space="preserve">The convenience sampling procedure involved recruiting participants from all </w:t>
      </w:r>
      <w:r w:rsidR="002A3A86">
        <w:rPr>
          <w:lang w:val="en-ID"/>
        </w:rPr>
        <w:t>10</w:t>
      </w:r>
      <w:r w:rsidR="002A3A86" w:rsidRPr="00B107AA">
        <w:rPr>
          <w:lang w:val="en-ID"/>
        </w:rPr>
        <w:t xml:space="preserve"> </w:t>
      </w:r>
      <w:r w:rsidRPr="00B107AA">
        <w:rPr>
          <w:lang w:val="en-ID"/>
        </w:rPr>
        <w:t>faculties within the university. Data collection was conducted from November 15th to 27th 2023 by visiting each faculty, during scheduled lectures. With the course instructors’ prior permission, the researcher briefly introduced the study and invited students to participate before the class began. Although the researcher met the participants in person during class visits, all data were collected online using Google Forms to facilitate data management and analysis. As the researcher is a faculty member at the same university, this facilitated access to classrooms and coordination with teaching staff. However, this relationship may have introduced bias, as students might have been more inclined to participate because of the researcher's institutional affiliation.</w:t>
      </w:r>
    </w:p>
    <w:p w14:paraId="3C0B1CBD" w14:textId="1F84DCB2" w:rsidR="00B107AA" w:rsidRPr="00B107AA" w:rsidRDefault="00B107AA" w:rsidP="0035494D">
      <w:pPr>
        <w:pStyle w:val="JANZSSABodycopy"/>
        <w:spacing w:after="240"/>
        <w:rPr>
          <w:lang w:val="en-ID"/>
        </w:rPr>
      </w:pPr>
      <w:r w:rsidRPr="00B107AA">
        <w:rPr>
          <w:lang w:val="en-ID"/>
        </w:rPr>
        <w:t>Ethical approval for data collection and publication was obtained from the Research Ethics Committee of the Faculty of Psychology, Universitas Gadjah Mada (Approval No: 10774/UN1/FPSi.1.3/SD/PT.01.04/2023, Date: September 4th, 2023). All procedures were conducted in accordance with the committee’s ethical guidelines, and participants provided informed consent prior to data collection. Table 1 presents the participant characteristics.</w:t>
      </w:r>
    </w:p>
    <w:p w14:paraId="115A4D90" w14:textId="51396831" w:rsidR="00B107AA" w:rsidRPr="00B107AA" w:rsidRDefault="00B107AA" w:rsidP="0035494D">
      <w:pPr>
        <w:pStyle w:val="JANZSSAFigureTableNumber"/>
        <w:rPr>
          <w:lang w:val="en-ID"/>
        </w:rPr>
      </w:pPr>
      <w:r w:rsidRPr="00B107AA">
        <w:rPr>
          <w:lang w:val="en-ID"/>
        </w:rPr>
        <w:t xml:space="preserve">Table 1 </w:t>
      </w:r>
    </w:p>
    <w:p w14:paraId="4C722556" w14:textId="0129F39B" w:rsidR="00B107AA" w:rsidRPr="00B107AA" w:rsidRDefault="00B107AA" w:rsidP="0035494D">
      <w:pPr>
        <w:pStyle w:val="JANZSSATableLabel"/>
        <w:rPr>
          <w:lang w:val="en-ID"/>
        </w:rPr>
      </w:pPr>
      <w:r w:rsidRPr="00B107AA">
        <w:rPr>
          <w:lang w:val="en-ID"/>
        </w:rPr>
        <w:t>Participant</w:t>
      </w:r>
      <w:r w:rsidR="002B19F8">
        <w:rPr>
          <w:lang w:val="en-ID"/>
        </w:rPr>
        <w:t xml:space="preserve"> </w:t>
      </w:r>
      <w:r w:rsidRPr="00B107AA">
        <w:rPr>
          <w:lang w:val="en-ID"/>
        </w:rPr>
        <w:t>Characteristics</w:t>
      </w:r>
    </w:p>
    <w:tbl>
      <w:tblPr>
        <w:tblStyle w:val="ListTable2"/>
        <w:tblW w:w="6525" w:type="dxa"/>
        <w:shd w:val="clear" w:color="auto" w:fill="FFFFFF" w:themeFill="background1"/>
        <w:tblLayout w:type="fixed"/>
        <w:tblLook w:val="04A0" w:firstRow="1" w:lastRow="0" w:firstColumn="1" w:lastColumn="0" w:noHBand="0" w:noVBand="1"/>
      </w:tblPr>
      <w:tblGrid>
        <w:gridCol w:w="3263"/>
        <w:gridCol w:w="1560"/>
        <w:gridCol w:w="1702"/>
      </w:tblGrid>
      <w:tr w:rsidR="00B107AA" w:rsidRPr="00B107AA" w14:paraId="0E381633" w14:textId="77777777">
        <w:trPr>
          <w:cnfStyle w:val="100000000000" w:firstRow="1" w:lastRow="0" w:firstColumn="0" w:lastColumn="0" w:oddVBand="0" w:evenVBand="0" w:oddHBand="0" w:evenHBand="0" w:firstRowFirstColumn="0" w:firstRowLastColumn="0" w:lastRowFirstColumn="0" w:lastRowLastColumn="0"/>
          <w:trHeight w:val="318"/>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666666" w:themeColor="text1" w:themeTint="99"/>
              <w:left w:val="nil"/>
              <w:bottom w:val="single" w:sz="4" w:space="0" w:color="666666" w:themeColor="text1" w:themeTint="99"/>
              <w:right w:val="nil"/>
            </w:tcBorders>
            <w:shd w:val="clear" w:color="auto" w:fill="FFFFFF" w:themeFill="background1"/>
            <w:vAlign w:val="center"/>
          </w:tcPr>
          <w:p w14:paraId="520F387F" w14:textId="77777777" w:rsidR="00B107AA" w:rsidRPr="00B107AA" w:rsidRDefault="00B107AA" w:rsidP="00B107AA">
            <w:pPr>
              <w:rPr>
                <w:lang w:val="id-ID" w:bidi="fa-IR"/>
              </w:rPr>
            </w:pPr>
          </w:p>
        </w:tc>
        <w:tc>
          <w:tcPr>
            <w:tcW w:w="1559" w:type="dxa"/>
            <w:tcBorders>
              <w:top w:val="single" w:sz="4" w:space="0" w:color="666666" w:themeColor="text1" w:themeTint="99"/>
              <w:left w:val="nil"/>
              <w:bottom w:val="single" w:sz="4" w:space="0" w:color="666666" w:themeColor="text1" w:themeTint="99"/>
              <w:right w:val="nil"/>
            </w:tcBorders>
            <w:shd w:val="clear" w:color="auto" w:fill="FFFFFF" w:themeFill="background1"/>
            <w:vAlign w:val="center"/>
            <w:hideMark/>
          </w:tcPr>
          <w:p w14:paraId="2CF73B53"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id-ID" w:bidi="fa-IR"/>
              </w:rPr>
            </w:pPr>
            <w:r w:rsidRPr="00B107AA">
              <w:rPr>
                <w:lang w:val="id-ID" w:bidi="fa-IR"/>
              </w:rPr>
              <w:t>Frequency (</w:t>
            </w:r>
            <w:r w:rsidRPr="004B1A66">
              <w:rPr>
                <w:i/>
                <w:iCs/>
                <w:lang w:val="id-ID" w:bidi="fa-IR"/>
              </w:rPr>
              <w:t>n</w:t>
            </w:r>
            <w:r w:rsidRPr="00B107AA">
              <w:rPr>
                <w:lang w:val="id-ID" w:bidi="fa-IR"/>
              </w:rPr>
              <w:t>)</w:t>
            </w:r>
          </w:p>
        </w:tc>
        <w:tc>
          <w:tcPr>
            <w:tcW w:w="1701" w:type="dxa"/>
            <w:tcBorders>
              <w:top w:val="single" w:sz="4" w:space="0" w:color="666666" w:themeColor="text1" w:themeTint="99"/>
              <w:left w:val="nil"/>
              <w:bottom w:val="single" w:sz="4" w:space="0" w:color="666666" w:themeColor="text1" w:themeTint="99"/>
              <w:right w:val="nil"/>
            </w:tcBorders>
            <w:shd w:val="clear" w:color="auto" w:fill="FFFFFF" w:themeFill="background1"/>
            <w:vAlign w:val="center"/>
            <w:hideMark/>
          </w:tcPr>
          <w:p w14:paraId="23ABBB2B"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id-ID" w:bidi="fa-IR"/>
              </w:rPr>
            </w:pPr>
            <w:r w:rsidRPr="00B107AA">
              <w:rPr>
                <w:lang w:val="id-ID" w:bidi="fa-IR"/>
              </w:rPr>
              <w:t>Percentage (%)</w:t>
            </w:r>
          </w:p>
        </w:tc>
      </w:tr>
      <w:tr w:rsidR="00B107AA" w:rsidRPr="00B107AA" w14:paraId="6DFB82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666666" w:themeColor="text1" w:themeTint="99"/>
              <w:left w:val="nil"/>
              <w:bottom w:val="single" w:sz="4" w:space="0" w:color="666666" w:themeColor="text1" w:themeTint="99"/>
              <w:right w:val="nil"/>
            </w:tcBorders>
            <w:shd w:val="clear" w:color="auto" w:fill="FFFFFF" w:themeFill="background1"/>
            <w:hideMark/>
          </w:tcPr>
          <w:p w14:paraId="18B85123" w14:textId="77777777" w:rsidR="00B107AA" w:rsidRPr="00B107AA" w:rsidRDefault="00B107AA" w:rsidP="00B107AA">
            <w:pPr>
              <w:rPr>
                <w:lang w:val="id-ID" w:bidi="fa-IR"/>
              </w:rPr>
            </w:pPr>
            <w:r w:rsidRPr="00B107AA">
              <w:rPr>
                <w:lang w:val="id-ID" w:bidi="fa-IR"/>
              </w:rPr>
              <w:t>Sex</w:t>
            </w:r>
          </w:p>
          <w:p w14:paraId="720D5E70" w14:textId="77777777" w:rsidR="00B107AA" w:rsidRPr="0091446D" w:rsidRDefault="00B107AA" w:rsidP="0091446D">
            <w:pPr>
              <w:ind w:left="720" w:hanging="466"/>
              <w:rPr>
                <w:b w:val="0"/>
                <w:bCs w:val="0"/>
                <w:lang w:val="id-ID" w:bidi="fa-IR"/>
              </w:rPr>
            </w:pPr>
            <w:r w:rsidRPr="0091446D">
              <w:rPr>
                <w:b w:val="0"/>
                <w:bCs w:val="0"/>
                <w:lang w:val="id-ID" w:bidi="fa-IR"/>
              </w:rPr>
              <w:t>Male</w:t>
            </w:r>
          </w:p>
          <w:p w14:paraId="05ECEDC5" w14:textId="77777777" w:rsidR="00B107AA" w:rsidRPr="00B107AA" w:rsidRDefault="00B107AA" w:rsidP="0091446D">
            <w:pPr>
              <w:ind w:left="720" w:hanging="466"/>
              <w:rPr>
                <w:i/>
                <w:iCs/>
                <w:lang w:val="id-ID" w:bidi="fa-IR"/>
              </w:rPr>
            </w:pPr>
            <w:r w:rsidRPr="0091446D">
              <w:rPr>
                <w:b w:val="0"/>
                <w:bCs w:val="0"/>
                <w:lang w:val="id-ID" w:bidi="fa-IR"/>
              </w:rPr>
              <w:t>Female</w:t>
            </w:r>
          </w:p>
        </w:tc>
        <w:tc>
          <w:tcPr>
            <w:tcW w:w="1559" w:type="dxa"/>
            <w:tcBorders>
              <w:top w:val="single" w:sz="4" w:space="0" w:color="666666" w:themeColor="text1" w:themeTint="99"/>
              <w:left w:val="nil"/>
              <w:bottom w:val="single" w:sz="4" w:space="0" w:color="666666" w:themeColor="text1" w:themeTint="99"/>
              <w:right w:val="nil"/>
            </w:tcBorders>
            <w:shd w:val="clear" w:color="auto" w:fill="FFFFFF" w:themeFill="background1"/>
          </w:tcPr>
          <w:p w14:paraId="6D6A5470"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23363D88"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104</w:t>
            </w:r>
          </w:p>
          <w:p w14:paraId="72E35329"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296</w:t>
            </w:r>
          </w:p>
        </w:tc>
        <w:tc>
          <w:tcPr>
            <w:tcW w:w="1701" w:type="dxa"/>
            <w:tcBorders>
              <w:top w:val="single" w:sz="4" w:space="0" w:color="666666" w:themeColor="text1" w:themeTint="99"/>
              <w:left w:val="nil"/>
              <w:bottom w:val="single" w:sz="4" w:space="0" w:color="666666" w:themeColor="text1" w:themeTint="99"/>
              <w:right w:val="nil"/>
            </w:tcBorders>
            <w:shd w:val="clear" w:color="auto" w:fill="FFFFFF" w:themeFill="background1"/>
          </w:tcPr>
          <w:p w14:paraId="15FA340C"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p>
          <w:p w14:paraId="3AAB766B"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bidi="fa-IR"/>
              </w:rPr>
            </w:pPr>
            <w:r w:rsidRPr="00B107AA">
              <w:rPr>
                <w:lang w:bidi="fa-IR"/>
              </w:rPr>
              <w:t>26</w:t>
            </w:r>
          </w:p>
          <w:p w14:paraId="5EEABA57"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bidi="fa-IR"/>
              </w:rPr>
            </w:pPr>
            <w:r w:rsidRPr="00B107AA">
              <w:rPr>
                <w:lang w:bidi="fa-IR"/>
              </w:rPr>
              <w:t>74</w:t>
            </w:r>
          </w:p>
        </w:tc>
      </w:tr>
      <w:tr w:rsidR="00B107AA" w:rsidRPr="00B107AA" w14:paraId="277D3B74" w14:textId="77777777">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666666" w:themeColor="text1" w:themeTint="99"/>
              <w:left w:val="nil"/>
              <w:bottom w:val="single" w:sz="4" w:space="0" w:color="666666" w:themeColor="text1" w:themeTint="99"/>
              <w:right w:val="nil"/>
            </w:tcBorders>
            <w:shd w:val="clear" w:color="auto" w:fill="FFFFFF" w:themeFill="background1"/>
            <w:hideMark/>
          </w:tcPr>
          <w:p w14:paraId="64D51110" w14:textId="77777777" w:rsidR="00B107AA" w:rsidRPr="00B107AA" w:rsidRDefault="00B107AA" w:rsidP="00B107AA">
            <w:pPr>
              <w:rPr>
                <w:i/>
                <w:iCs/>
                <w:lang w:val="id-ID" w:bidi="fa-IR"/>
              </w:rPr>
            </w:pPr>
            <w:r w:rsidRPr="00B107AA">
              <w:rPr>
                <w:lang w:val="id-ID" w:bidi="fa-IR"/>
              </w:rPr>
              <w:t>Age</w:t>
            </w:r>
            <w:r w:rsidRPr="00B107AA">
              <w:rPr>
                <w:i/>
                <w:iCs/>
                <w:lang w:val="id-ID" w:bidi="fa-IR"/>
              </w:rPr>
              <w:t xml:space="preserve"> </w:t>
            </w:r>
            <w:r w:rsidRPr="00B107AA">
              <w:rPr>
                <w:lang w:val="id-ID" w:bidi="fa-IR"/>
              </w:rPr>
              <w:t>(</w:t>
            </w:r>
            <w:r w:rsidRPr="00B107AA">
              <w:rPr>
                <w:i/>
                <w:iCs/>
                <w:lang w:val="id-ID" w:bidi="fa-IR"/>
              </w:rPr>
              <w:t>M</w:t>
            </w:r>
            <w:r w:rsidRPr="00B107AA">
              <w:rPr>
                <w:lang w:val="id-ID" w:bidi="fa-IR"/>
              </w:rPr>
              <w:t>=19.422,</w:t>
            </w:r>
            <w:r w:rsidRPr="00B107AA">
              <w:rPr>
                <w:i/>
                <w:iCs/>
                <w:lang w:val="id-ID" w:bidi="fa-IR"/>
              </w:rPr>
              <w:t xml:space="preserve"> SD</w:t>
            </w:r>
            <w:r w:rsidRPr="00B107AA">
              <w:rPr>
                <w:lang w:val="id-ID" w:bidi="fa-IR"/>
              </w:rPr>
              <w:t>=1.288)</w:t>
            </w:r>
          </w:p>
          <w:p w14:paraId="5CFC8DEB" w14:textId="77777777" w:rsidR="00B107AA" w:rsidRPr="0091446D" w:rsidRDefault="00B107AA" w:rsidP="0091446D">
            <w:pPr>
              <w:ind w:left="254"/>
              <w:rPr>
                <w:b w:val="0"/>
                <w:bCs w:val="0"/>
                <w:lang w:val="id-ID" w:bidi="fa-IR"/>
              </w:rPr>
            </w:pPr>
            <w:r w:rsidRPr="0091446D">
              <w:rPr>
                <w:b w:val="0"/>
                <w:bCs w:val="0"/>
                <w:lang w:val="id-ID" w:bidi="fa-IR"/>
              </w:rPr>
              <w:t>18 years</w:t>
            </w:r>
          </w:p>
          <w:p w14:paraId="5FDD5AEB" w14:textId="77777777" w:rsidR="00B107AA" w:rsidRPr="0091446D" w:rsidRDefault="00B107AA" w:rsidP="0091446D">
            <w:pPr>
              <w:ind w:left="254"/>
              <w:rPr>
                <w:b w:val="0"/>
                <w:bCs w:val="0"/>
                <w:lang w:val="id-ID" w:bidi="fa-IR"/>
              </w:rPr>
            </w:pPr>
            <w:r w:rsidRPr="0091446D">
              <w:rPr>
                <w:b w:val="0"/>
                <w:bCs w:val="0"/>
                <w:lang w:val="id-ID" w:bidi="fa-IR"/>
              </w:rPr>
              <w:t>19 years</w:t>
            </w:r>
          </w:p>
          <w:p w14:paraId="49F5CE73" w14:textId="77777777" w:rsidR="00B107AA" w:rsidRPr="0091446D" w:rsidRDefault="00B107AA" w:rsidP="0091446D">
            <w:pPr>
              <w:ind w:left="254"/>
              <w:rPr>
                <w:b w:val="0"/>
                <w:bCs w:val="0"/>
                <w:lang w:val="id-ID" w:bidi="fa-IR"/>
              </w:rPr>
            </w:pPr>
            <w:r w:rsidRPr="0091446D">
              <w:rPr>
                <w:b w:val="0"/>
                <w:bCs w:val="0"/>
                <w:lang w:val="id-ID" w:bidi="fa-IR"/>
              </w:rPr>
              <w:t>20 years</w:t>
            </w:r>
          </w:p>
          <w:p w14:paraId="75FDECE3" w14:textId="77777777" w:rsidR="00B107AA" w:rsidRPr="0091446D" w:rsidRDefault="00B107AA" w:rsidP="0091446D">
            <w:pPr>
              <w:ind w:left="254"/>
              <w:rPr>
                <w:b w:val="0"/>
                <w:bCs w:val="0"/>
                <w:lang w:val="id-ID" w:bidi="fa-IR"/>
              </w:rPr>
            </w:pPr>
            <w:r w:rsidRPr="0091446D">
              <w:rPr>
                <w:b w:val="0"/>
                <w:bCs w:val="0"/>
                <w:lang w:val="id-ID" w:bidi="fa-IR"/>
              </w:rPr>
              <w:t>21 years</w:t>
            </w:r>
          </w:p>
          <w:p w14:paraId="2975BBE0" w14:textId="77777777" w:rsidR="00B107AA" w:rsidRPr="0091446D" w:rsidRDefault="00B107AA" w:rsidP="0091446D">
            <w:pPr>
              <w:ind w:left="254"/>
              <w:rPr>
                <w:b w:val="0"/>
                <w:bCs w:val="0"/>
                <w:lang w:val="id-ID" w:bidi="fa-IR"/>
              </w:rPr>
            </w:pPr>
            <w:r w:rsidRPr="0091446D">
              <w:rPr>
                <w:b w:val="0"/>
                <w:bCs w:val="0"/>
                <w:lang w:val="id-ID" w:bidi="fa-IR"/>
              </w:rPr>
              <w:t>22 years</w:t>
            </w:r>
          </w:p>
          <w:p w14:paraId="24B53A26" w14:textId="77777777" w:rsidR="00B107AA" w:rsidRPr="00B107AA" w:rsidRDefault="00B107AA" w:rsidP="0091446D">
            <w:pPr>
              <w:ind w:left="254"/>
              <w:rPr>
                <w:lang w:val="id-ID" w:bidi="fa-IR"/>
              </w:rPr>
            </w:pPr>
            <w:r w:rsidRPr="0091446D">
              <w:rPr>
                <w:b w:val="0"/>
                <w:bCs w:val="0"/>
                <w:lang w:val="id-ID" w:bidi="fa-IR"/>
              </w:rPr>
              <w:t>23 years</w:t>
            </w:r>
          </w:p>
        </w:tc>
        <w:tc>
          <w:tcPr>
            <w:tcW w:w="1559" w:type="dxa"/>
            <w:tcBorders>
              <w:top w:val="single" w:sz="4" w:space="0" w:color="666666" w:themeColor="text1" w:themeTint="99"/>
              <w:left w:val="nil"/>
              <w:bottom w:val="single" w:sz="4" w:space="0" w:color="666666" w:themeColor="text1" w:themeTint="99"/>
              <w:right w:val="nil"/>
            </w:tcBorders>
            <w:shd w:val="clear" w:color="auto" w:fill="FFFFFF" w:themeFill="background1"/>
          </w:tcPr>
          <w:p w14:paraId="57847901"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p>
          <w:p w14:paraId="1022F3DB"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106</w:t>
            </w:r>
          </w:p>
          <w:p w14:paraId="27F1DFE4"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89</w:t>
            </w:r>
          </w:p>
          <w:p w14:paraId="052704AD"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122</w:t>
            </w:r>
          </w:p>
          <w:p w14:paraId="44EB01F7"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70</w:t>
            </w:r>
          </w:p>
          <w:p w14:paraId="06B74583"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10</w:t>
            </w:r>
          </w:p>
          <w:p w14:paraId="3FF271D4"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3</w:t>
            </w:r>
          </w:p>
        </w:tc>
        <w:tc>
          <w:tcPr>
            <w:tcW w:w="1701" w:type="dxa"/>
            <w:tcBorders>
              <w:top w:val="single" w:sz="4" w:space="0" w:color="666666" w:themeColor="text1" w:themeTint="99"/>
              <w:left w:val="nil"/>
              <w:bottom w:val="single" w:sz="4" w:space="0" w:color="666666" w:themeColor="text1" w:themeTint="99"/>
              <w:right w:val="nil"/>
            </w:tcBorders>
            <w:shd w:val="clear" w:color="auto" w:fill="FFFFFF" w:themeFill="background1"/>
          </w:tcPr>
          <w:p w14:paraId="5305B78B"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p>
          <w:p w14:paraId="1D5F2E0F"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26.50</w:t>
            </w:r>
          </w:p>
          <w:p w14:paraId="6776B1C4"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22.25</w:t>
            </w:r>
          </w:p>
          <w:p w14:paraId="4F8E8E82"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30.50</w:t>
            </w:r>
          </w:p>
          <w:p w14:paraId="2AFDF70E"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17.50</w:t>
            </w:r>
          </w:p>
          <w:p w14:paraId="6BFBA827"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2.50</w:t>
            </w:r>
          </w:p>
          <w:p w14:paraId="306ED8BB"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0.75</w:t>
            </w:r>
          </w:p>
        </w:tc>
      </w:tr>
      <w:tr w:rsidR="00B107AA" w:rsidRPr="00B107AA" w14:paraId="4A5257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666666" w:themeColor="text1" w:themeTint="99"/>
              <w:left w:val="nil"/>
              <w:bottom w:val="single" w:sz="4" w:space="0" w:color="666666" w:themeColor="text1" w:themeTint="99"/>
              <w:right w:val="nil"/>
            </w:tcBorders>
            <w:shd w:val="clear" w:color="auto" w:fill="FFFFFF" w:themeFill="background1"/>
            <w:hideMark/>
          </w:tcPr>
          <w:p w14:paraId="0A5E897E" w14:textId="77777777" w:rsidR="00B107AA" w:rsidRPr="00B107AA" w:rsidRDefault="00B107AA" w:rsidP="00B107AA">
            <w:pPr>
              <w:rPr>
                <w:lang w:val="id-ID" w:bidi="fa-IR"/>
              </w:rPr>
            </w:pPr>
            <w:r w:rsidRPr="00B107AA">
              <w:rPr>
                <w:lang w:val="id-ID" w:bidi="fa-IR"/>
              </w:rPr>
              <w:t>Year of Study (</w:t>
            </w:r>
            <w:r w:rsidRPr="00B107AA">
              <w:rPr>
                <w:i/>
                <w:iCs/>
                <w:lang w:val="id-ID" w:bidi="fa-IR"/>
              </w:rPr>
              <w:t>M</w:t>
            </w:r>
            <w:r w:rsidRPr="00B107AA">
              <w:rPr>
                <w:lang w:val="id-ID" w:bidi="fa-IR"/>
              </w:rPr>
              <w:t xml:space="preserve">=2.43, </w:t>
            </w:r>
            <w:r w:rsidRPr="00B107AA">
              <w:rPr>
                <w:i/>
                <w:iCs/>
                <w:lang w:val="id-ID" w:bidi="fa-IR"/>
              </w:rPr>
              <w:t>SD</w:t>
            </w:r>
            <w:r w:rsidRPr="00B107AA">
              <w:rPr>
                <w:lang w:val="id-ID" w:bidi="fa-IR"/>
              </w:rPr>
              <w:t>=1.117)</w:t>
            </w:r>
          </w:p>
          <w:p w14:paraId="67CD4AA9" w14:textId="23D1E85B" w:rsidR="00B107AA" w:rsidRPr="0091446D" w:rsidRDefault="00B107AA" w:rsidP="0091446D">
            <w:pPr>
              <w:ind w:left="720" w:hanging="466"/>
              <w:rPr>
                <w:b w:val="0"/>
                <w:bCs w:val="0"/>
                <w:lang w:val="id-ID" w:bidi="fa-IR"/>
              </w:rPr>
            </w:pPr>
            <w:r w:rsidRPr="0091446D">
              <w:rPr>
                <w:b w:val="0"/>
                <w:bCs w:val="0"/>
                <w:lang w:val="id-ID" w:bidi="fa-IR"/>
              </w:rPr>
              <w:t>First</w:t>
            </w:r>
            <w:r w:rsidR="00DD6D7F" w:rsidRPr="0091446D">
              <w:rPr>
                <w:b w:val="0"/>
                <w:bCs w:val="0"/>
                <w:lang w:val="id-ID" w:bidi="fa-IR"/>
              </w:rPr>
              <w:t xml:space="preserve"> </w:t>
            </w:r>
            <w:r w:rsidRPr="0091446D">
              <w:rPr>
                <w:b w:val="0"/>
                <w:bCs w:val="0"/>
                <w:lang w:val="id-ID" w:bidi="fa-IR"/>
              </w:rPr>
              <w:t>year</w:t>
            </w:r>
          </w:p>
          <w:p w14:paraId="49B635D2" w14:textId="17DAACF0" w:rsidR="00B107AA" w:rsidRPr="0091446D" w:rsidRDefault="00B107AA" w:rsidP="0091446D">
            <w:pPr>
              <w:ind w:left="720" w:hanging="466"/>
              <w:rPr>
                <w:b w:val="0"/>
                <w:bCs w:val="0"/>
                <w:lang w:val="id-ID" w:bidi="fa-IR"/>
              </w:rPr>
            </w:pPr>
            <w:r w:rsidRPr="0091446D">
              <w:rPr>
                <w:b w:val="0"/>
                <w:bCs w:val="0"/>
                <w:lang w:val="id-ID" w:bidi="fa-IR"/>
              </w:rPr>
              <w:t>Second</w:t>
            </w:r>
            <w:r w:rsidR="00DD6D7F" w:rsidRPr="0091446D">
              <w:rPr>
                <w:b w:val="0"/>
                <w:bCs w:val="0"/>
                <w:lang w:val="id-ID" w:bidi="fa-IR"/>
              </w:rPr>
              <w:t xml:space="preserve"> </w:t>
            </w:r>
            <w:r w:rsidRPr="0091446D">
              <w:rPr>
                <w:b w:val="0"/>
                <w:bCs w:val="0"/>
                <w:lang w:val="id-ID" w:bidi="fa-IR"/>
              </w:rPr>
              <w:t>year</w:t>
            </w:r>
          </w:p>
          <w:p w14:paraId="6E3B9FDD" w14:textId="4E09ABE9" w:rsidR="00B107AA" w:rsidRPr="0091446D" w:rsidRDefault="00B107AA" w:rsidP="0091446D">
            <w:pPr>
              <w:ind w:left="720" w:hanging="466"/>
              <w:rPr>
                <w:b w:val="0"/>
                <w:bCs w:val="0"/>
                <w:lang w:val="id-ID" w:bidi="fa-IR"/>
              </w:rPr>
            </w:pPr>
            <w:r w:rsidRPr="0091446D">
              <w:rPr>
                <w:b w:val="0"/>
                <w:bCs w:val="0"/>
                <w:lang w:val="id-ID" w:bidi="fa-IR"/>
              </w:rPr>
              <w:t>Third</w:t>
            </w:r>
            <w:r w:rsidR="00DD6D7F" w:rsidRPr="0091446D">
              <w:rPr>
                <w:b w:val="0"/>
                <w:bCs w:val="0"/>
                <w:lang w:val="id-ID" w:bidi="fa-IR"/>
              </w:rPr>
              <w:t xml:space="preserve"> </w:t>
            </w:r>
            <w:r w:rsidRPr="0091446D">
              <w:rPr>
                <w:b w:val="0"/>
                <w:bCs w:val="0"/>
                <w:lang w:val="id-ID" w:bidi="fa-IR"/>
              </w:rPr>
              <w:t>year</w:t>
            </w:r>
          </w:p>
          <w:p w14:paraId="0070D4AE" w14:textId="266F2DB2" w:rsidR="00B107AA" w:rsidRPr="00B107AA" w:rsidRDefault="00B107AA" w:rsidP="0091446D">
            <w:pPr>
              <w:ind w:left="720" w:hanging="466"/>
              <w:rPr>
                <w:lang w:val="id-ID" w:bidi="fa-IR"/>
              </w:rPr>
            </w:pPr>
            <w:r w:rsidRPr="0091446D">
              <w:rPr>
                <w:b w:val="0"/>
                <w:bCs w:val="0"/>
                <w:lang w:val="id-ID" w:bidi="fa-IR"/>
              </w:rPr>
              <w:t>Fourth</w:t>
            </w:r>
            <w:r w:rsidR="00DD6D7F" w:rsidRPr="0091446D">
              <w:rPr>
                <w:b w:val="0"/>
                <w:bCs w:val="0"/>
                <w:lang w:val="id-ID" w:bidi="fa-IR"/>
              </w:rPr>
              <w:t xml:space="preserve"> </w:t>
            </w:r>
            <w:r w:rsidRPr="0091446D">
              <w:rPr>
                <w:b w:val="0"/>
                <w:bCs w:val="0"/>
                <w:lang w:val="id-ID" w:bidi="fa-IR"/>
              </w:rPr>
              <w:t>year</w:t>
            </w:r>
          </w:p>
        </w:tc>
        <w:tc>
          <w:tcPr>
            <w:tcW w:w="1559" w:type="dxa"/>
            <w:tcBorders>
              <w:top w:val="single" w:sz="4" w:space="0" w:color="666666" w:themeColor="text1" w:themeTint="99"/>
              <w:left w:val="nil"/>
              <w:bottom w:val="single" w:sz="4" w:space="0" w:color="666666" w:themeColor="text1" w:themeTint="99"/>
              <w:right w:val="nil"/>
            </w:tcBorders>
            <w:shd w:val="clear" w:color="auto" w:fill="FFFFFF" w:themeFill="background1"/>
          </w:tcPr>
          <w:p w14:paraId="039BC033"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092925B8"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103</w:t>
            </w:r>
          </w:p>
          <w:p w14:paraId="0A98C3DE"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119</w:t>
            </w:r>
          </w:p>
          <w:p w14:paraId="219EE2D0"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81</w:t>
            </w:r>
          </w:p>
          <w:p w14:paraId="67701650"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97</w:t>
            </w:r>
          </w:p>
        </w:tc>
        <w:tc>
          <w:tcPr>
            <w:tcW w:w="1701" w:type="dxa"/>
            <w:tcBorders>
              <w:top w:val="single" w:sz="4" w:space="0" w:color="666666" w:themeColor="text1" w:themeTint="99"/>
              <w:left w:val="nil"/>
              <w:bottom w:val="single" w:sz="4" w:space="0" w:color="666666" w:themeColor="text1" w:themeTint="99"/>
              <w:right w:val="nil"/>
            </w:tcBorders>
            <w:shd w:val="clear" w:color="auto" w:fill="FFFFFF" w:themeFill="background1"/>
          </w:tcPr>
          <w:p w14:paraId="5214FBCA"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0A0C5079"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25.75</w:t>
            </w:r>
          </w:p>
          <w:p w14:paraId="1577EE81"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29.75</w:t>
            </w:r>
          </w:p>
          <w:p w14:paraId="35057559"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20.25</w:t>
            </w:r>
          </w:p>
          <w:p w14:paraId="2D73B0CC"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24.25</w:t>
            </w:r>
          </w:p>
        </w:tc>
      </w:tr>
    </w:tbl>
    <w:p w14:paraId="1B6F9DBD" w14:textId="77777777" w:rsidR="002B19F8" w:rsidRDefault="002B19F8" w:rsidP="002B19F8">
      <w:pPr>
        <w:pStyle w:val="JANZSSABodyCopy10pt"/>
        <w:rPr>
          <w:lang w:bidi="fa-IR"/>
        </w:rPr>
      </w:pPr>
    </w:p>
    <w:p w14:paraId="5EBDA36D" w14:textId="77777777" w:rsidR="00AE719D" w:rsidRDefault="00AE719D">
      <w:pPr>
        <w:rPr>
          <w:b/>
          <w:bCs/>
          <w:i/>
          <w:iCs/>
          <w:sz w:val="24"/>
          <w:szCs w:val="24"/>
          <w:lang w:bidi="fa-IR"/>
        </w:rPr>
      </w:pPr>
      <w:r>
        <w:rPr>
          <w:b/>
          <w:bCs/>
          <w:i/>
          <w:iCs/>
          <w:sz w:val="24"/>
          <w:szCs w:val="24"/>
          <w:lang w:bidi="fa-IR"/>
        </w:rPr>
        <w:br w:type="page"/>
      </w:r>
    </w:p>
    <w:p w14:paraId="157BFC36" w14:textId="646A57F8" w:rsidR="00B107AA" w:rsidRPr="002B19F8" w:rsidRDefault="00B107AA" w:rsidP="002B19F8">
      <w:pPr>
        <w:pStyle w:val="JANZSSABodyCopy10pt"/>
        <w:rPr>
          <w:b/>
          <w:bCs/>
          <w:i/>
          <w:iCs/>
          <w:sz w:val="24"/>
          <w:szCs w:val="24"/>
          <w:lang w:bidi="fa-IR"/>
        </w:rPr>
      </w:pPr>
      <w:r w:rsidRPr="002B19F8">
        <w:rPr>
          <w:b/>
          <w:bCs/>
          <w:i/>
          <w:iCs/>
          <w:sz w:val="24"/>
          <w:szCs w:val="24"/>
          <w:lang w:bidi="fa-IR"/>
        </w:rPr>
        <w:lastRenderedPageBreak/>
        <w:t xml:space="preserve">Research </w:t>
      </w:r>
      <w:r w:rsidR="0035494D" w:rsidRPr="002B19F8">
        <w:rPr>
          <w:b/>
          <w:bCs/>
          <w:i/>
          <w:iCs/>
          <w:sz w:val="24"/>
          <w:szCs w:val="24"/>
          <w:lang w:bidi="fa-IR"/>
        </w:rPr>
        <w:t>m</w:t>
      </w:r>
      <w:r w:rsidRPr="002B19F8">
        <w:rPr>
          <w:b/>
          <w:bCs/>
          <w:i/>
          <w:iCs/>
          <w:sz w:val="24"/>
          <w:szCs w:val="24"/>
          <w:lang w:bidi="fa-IR"/>
        </w:rPr>
        <w:t>odel</w:t>
      </w:r>
    </w:p>
    <w:p w14:paraId="72CC0066" w14:textId="1F8C24AE" w:rsidR="00B107AA" w:rsidRPr="00B107AA" w:rsidRDefault="00B107AA" w:rsidP="00F324F7">
      <w:pPr>
        <w:pStyle w:val="JANZSSABodycopy"/>
        <w:rPr>
          <w:lang w:val="en-ID"/>
        </w:rPr>
      </w:pPr>
      <w:r w:rsidRPr="00B107AA">
        <w:rPr>
          <w:lang w:val="en-ID"/>
        </w:rPr>
        <w:t xml:space="preserve">This study employed a structural equation modeling (SEM) approach using the MIMIC model. According to </w:t>
      </w:r>
      <w:proofErr w:type="spellStart"/>
      <w:r w:rsidRPr="00B107AA">
        <w:rPr>
          <w:lang w:val="en-ID"/>
        </w:rPr>
        <w:t>Muthén</w:t>
      </w:r>
      <w:proofErr w:type="spellEnd"/>
      <w:r w:rsidRPr="00B107AA">
        <w:rPr>
          <w:lang w:val="en-ID"/>
        </w:rPr>
        <w:t xml:space="preserve"> (1989), the MIMIC model facilitates population heterogeneity by incorporating a set of predictors or covariates. The MIMIC model was introduced by </w:t>
      </w:r>
      <w:proofErr w:type="spellStart"/>
      <w:r w:rsidRPr="00B107AA">
        <w:rPr>
          <w:lang w:val="en-ID"/>
        </w:rPr>
        <w:t>Jöreskog</w:t>
      </w:r>
      <w:proofErr w:type="spellEnd"/>
      <w:r w:rsidRPr="00B107AA">
        <w:rPr>
          <w:lang w:val="en-ID"/>
        </w:rPr>
        <w:t xml:space="preserve"> and Goldberger (1975). Like other SEM variants (e.g., Covariance-Based Structural Equation Modeling [CB-SEM], Partial Least Squares Structural Equation Modeling [PLS-SEM], and Generalized Structural Equation Modeling [GSEM]), the MIMIC model incorporates both measurement and structural components to analy</w:t>
      </w:r>
      <w:r w:rsidR="00C843B8">
        <w:rPr>
          <w:lang w:val="en-ID"/>
        </w:rPr>
        <w:t>s</w:t>
      </w:r>
      <w:r w:rsidRPr="00B107AA">
        <w:rPr>
          <w:lang w:val="en-ID"/>
        </w:rPr>
        <w:t>e the effect of multiple covariate (exogenous) variables on a single latent (endogenous) construct. However, unlike other SEM approaches, the covariate data in MIMIC models are typically directly observable and often categorical, such as sociodemographic data.</w:t>
      </w:r>
    </w:p>
    <w:p w14:paraId="65D7F54A" w14:textId="63501F0E" w:rsidR="00B107AA" w:rsidRPr="00B107AA" w:rsidRDefault="00B107AA" w:rsidP="00F324F7">
      <w:pPr>
        <w:pStyle w:val="JANZSSABodycopy"/>
        <w:rPr>
          <w:lang w:val="en-ID"/>
        </w:rPr>
      </w:pPr>
      <w:r w:rsidRPr="00B107AA">
        <w:rPr>
          <w:lang w:val="en-ID"/>
        </w:rPr>
        <w:t xml:space="preserve">The MIMIC model is widely used in psychology to examine whether a psychological construct is measured equivalently across different groups (i.e., to test for measurement invariance). This model ensures that observed scores reflect actual differences in the construct rather than measurement bias. Numerous studies have employed the MIMIC model for this purpose (e.g., </w:t>
      </w:r>
      <w:proofErr w:type="spellStart"/>
      <w:r w:rsidRPr="00B107AA">
        <w:rPr>
          <w:lang w:val="en-ID"/>
        </w:rPr>
        <w:t>Arlianto</w:t>
      </w:r>
      <w:proofErr w:type="spellEnd"/>
      <w:r w:rsidRPr="00B107AA">
        <w:rPr>
          <w:lang w:val="en-ID"/>
        </w:rPr>
        <w:t xml:space="preserve"> &amp; </w:t>
      </w:r>
      <w:proofErr w:type="spellStart"/>
      <w:r w:rsidRPr="00B107AA">
        <w:rPr>
          <w:lang w:val="en-ID"/>
        </w:rPr>
        <w:t>Geshica</w:t>
      </w:r>
      <w:proofErr w:type="spellEnd"/>
      <w:r w:rsidRPr="00B107AA">
        <w:rPr>
          <w:lang w:val="en-ID"/>
        </w:rPr>
        <w:t>, 2022; Brown et al., 2020; Cheng et al., 2016; Cheung et al., 2023; Chun et al., 2016; Jamali et al., 2017; Jin &amp; Chen, 2020; McKenna et al., 2016; Montoya &amp; Jeon, 2020; Normand et al., 2020; Rubio et al., 2003; Sasmita, 2022; Tsaousis et al., 2018</w:t>
      </w:r>
      <w:r w:rsidR="00A61BB2">
        <w:rPr>
          <w:lang w:val="en-ID"/>
        </w:rPr>
        <w:t xml:space="preserve">; </w:t>
      </w:r>
      <w:r w:rsidR="00A61BB2" w:rsidRPr="00B107AA">
        <w:rPr>
          <w:lang w:val="en-ID"/>
        </w:rPr>
        <w:t>Tsaousis et al.,</w:t>
      </w:r>
      <w:r w:rsidRPr="00B107AA">
        <w:rPr>
          <w:lang w:val="en-ID"/>
        </w:rPr>
        <w:t xml:space="preserve"> 2023; </w:t>
      </w:r>
      <w:proofErr w:type="spellStart"/>
      <w:r w:rsidRPr="00B107AA">
        <w:rPr>
          <w:lang w:val="en-ID"/>
        </w:rPr>
        <w:t>Uǧurlu</w:t>
      </w:r>
      <w:proofErr w:type="spellEnd"/>
      <w:r w:rsidRPr="00B107AA">
        <w:rPr>
          <w:lang w:val="en-ID"/>
        </w:rPr>
        <w:t xml:space="preserve"> &amp; Atar, 2020; Woods et al., 2009).</w:t>
      </w:r>
    </w:p>
    <w:p w14:paraId="35B3CC4C" w14:textId="21668359" w:rsidR="00B107AA" w:rsidRPr="00B107AA" w:rsidRDefault="00B107AA" w:rsidP="00F324F7">
      <w:pPr>
        <w:pStyle w:val="JANZSSABodycopy"/>
        <w:rPr>
          <w:lang w:val="en-ID"/>
        </w:rPr>
      </w:pPr>
      <w:r w:rsidRPr="00B107AA">
        <w:rPr>
          <w:lang w:val="en-ID"/>
        </w:rPr>
        <w:t xml:space="preserve">Researchers can apply the MIMIC model to test measurement invariance and examine whether multiple covariate variables influence a latent construct with multiple indicators simultaneously. The results of such analyses can be interpreted similarly to regression analysis. </w:t>
      </w:r>
      <w:r w:rsidR="002B19F8" w:rsidRPr="002B19F8">
        <w:t>Several studies have adopted this approach across diverse research contexts. For example, Ríos-Bedoya et al. (2009) examined the effect of early smoking experiences on current smoking behaviour, and Hsu et al. (2010) investigated the influence of paternal and maternal involvement on adolescents’ academic achievement. Normand et al. (2020) tested whether comorbidities predicted the quality of friendships among children with attention deficit hyperactivity disorder (ADHD)/hyperactivity, while McKenna et al. (2016) examined the relationship between maltreatment exposure and ADHD symptom severity. Chaudhuri et al. (2016) also applied the MIMIC model to assess corporate performance.</w:t>
      </w:r>
    </w:p>
    <w:p w14:paraId="2688108C" w14:textId="638BB707" w:rsidR="00B107AA" w:rsidRPr="00096ACC" w:rsidRDefault="00B107AA" w:rsidP="00096ACC">
      <w:pPr>
        <w:pStyle w:val="JANZSSABodycopy"/>
        <w:rPr>
          <w:lang w:val="en-ID"/>
        </w:rPr>
      </w:pPr>
      <w:r w:rsidRPr="00B107AA">
        <w:rPr>
          <w:lang w:val="en-ID"/>
        </w:rPr>
        <w:t>The MIMIC approach involves two main stages</w:t>
      </w:r>
      <w:r w:rsidR="00E03B48">
        <w:rPr>
          <w:lang w:val="en-ID"/>
        </w:rPr>
        <w:t>.</w:t>
      </w:r>
      <w:r w:rsidRPr="00B107AA">
        <w:rPr>
          <w:lang w:val="en-ID"/>
        </w:rPr>
        <w:t xml:space="preserve"> </w:t>
      </w:r>
      <w:r w:rsidR="00E03B48">
        <w:rPr>
          <w:lang w:val="en-ID"/>
        </w:rPr>
        <w:t>F</w:t>
      </w:r>
      <w:r w:rsidRPr="00B107AA">
        <w:rPr>
          <w:lang w:val="en-ID"/>
        </w:rPr>
        <w:t>irst, researchers construct a measurement model for the endogenous or latent variable, which the observed indicators reflect</w:t>
      </w:r>
      <w:r w:rsidR="00E03B48">
        <w:rPr>
          <w:lang w:val="en-ID"/>
        </w:rPr>
        <w:t>.</w:t>
      </w:r>
      <w:r w:rsidRPr="00B107AA">
        <w:rPr>
          <w:lang w:val="en-ID"/>
        </w:rPr>
        <w:t xml:space="preserve"> </w:t>
      </w:r>
      <w:r w:rsidR="00E03B48">
        <w:rPr>
          <w:lang w:val="en-ID"/>
        </w:rPr>
        <w:t>S</w:t>
      </w:r>
      <w:r w:rsidRPr="00B107AA">
        <w:rPr>
          <w:lang w:val="en-ID"/>
        </w:rPr>
        <w:t>econd, they include covariates to examine their direct effects on the measured endogenous variable.</w:t>
      </w:r>
    </w:p>
    <w:p w14:paraId="1ED0ACBF" w14:textId="01F981FB" w:rsidR="00B107AA" w:rsidRPr="00096ACC" w:rsidRDefault="00B107AA" w:rsidP="00096ACC">
      <w:pPr>
        <w:pStyle w:val="JANZSSAHeading2"/>
        <w:rPr>
          <w:lang w:bidi="fa-IR"/>
        </w:rPr>
      </w:pPr>
      <w:r w:rsidRPr="00B107AA">
        <w:rPr>
          <w:lang w:bidi="fa-IR"/>
        </w:rPr>
        <w:t xml:space="preserve">Research </w:t>
      </w:r>
      <w:r w:rsidR="0035494D">
        <w:rPr>
          <w:lang w:bidi="fa-IR"/>
        </w:rPr>
        <w:t>i</w:t>
      </w:r>
      <w:r w:rsidRPr="00B107AA">
        <w:rPr>
          <w:lang w:bidi="fa-IR"/>
        </w:rPr>
        <w:t>nstruments</w:t>
      </w:r>
    </w:p>
    <w:p w14:paraId="33DBBBAB" w14:textId="5BFC2604" w:rsidR="00B107AA" w:rsidRPr="00B107AA" w:rsidRDefault="00B107AA" w:rsidP="00096ACC">
      <w:pPr>
        <w:pStyle w:val="JANZSSAHeading3"/>
        <w:rPr>
          <w:lang w:bidi="fa-IR"/>
        </w:rPr>
      </w:pPr>
      <w:r w:rsidRPr="00B107AA">
        <w:rPr>
          <w:lang w:bidi="fa-IR"/>
        </w:rPr>
        <w:t xml:space="preserve">Endogenous </w:t>
      </w:r>
      <w:r w:rsidR="0035494D">
        <w:rPr>
          <w:lang w:bidi="fa-IR"/>
        </w:rPr>
        <w:t>v</w:t>
      </w:r>
      <w:r w:rsidRPr="00B107AA">
        <w:rPr>
          <w:lang w:bidi="fa-IR"/>
        </w:rPr>
        <w:t>ariables</w:t>
      </w:r>
    </w:p>
    <w:p w14:paraId="22EA6039" w14:textId="6D282E78" w:rsidR="00B107AA" w:rsidRPr="00B107AA" w:rsidRDefault="00B107AA" w:rsidP="00240EC8">
      <w:pPr>
        <w:pStyle w:val="JANZSSABodycopy"/>
        <w:spacing w:after="240"/>
        <w:rPr>
          <w:lang w:val="en-ID"/>
        </w:rPr>
      </w:pPr>
      <w:r w:rsidRPr="00B107AA">
        <w:rPr>
          <w:lang w:val="en-ID"/>
        </w:rPr>
        <w:t xml:space="preserve">The endogenous variable in this study is college belongingness, measured using the College Belongingness Questionnaire (CBQ) developed by Arslan (2021) and adapted into Indonesian. The CBQ consists of 10 items derived from two dimensions: social acceptance or inclusion (SI), which comprises five items (items 1, 3, 5, 7, 9), and social exclusion (SE), which also comprises five items (items 2, 4, 6, 8, 10). The conceptual definitions of these two dimensions </w:t>
      </w:r>
      <w:r w:rsidR="00EA545D">
        <w:rPr>
          <w:lang w:val="en-ID"/>
        </w:rPr>
        <w:t xml:space="preserve">are drawn from </w:t>
      </w:r>
      <w:r w:rsidRPr="00B107AA">
        <w:rPr>
          <w:lang w:val="en-ID"/>
        </w:rPr>
        <w:t>Arslan (2021) and Arslan and Duru (2017), as detailed in Table 2.</w:t>
      </w:r>
    </w:p>
    <w:p w14:paraId="147A35CA" w14:textId="1238BF83" w:rsidR="00B107AA" w:rsidRPr="00B107AA" w:rsidRDefault="00B107AA" w:rsidP="00240EC8">
      <w:pPr>
        <w:pStyle w:val="JANZSSAFigureTableNumber"/>
        <w:rPr>
          <w:lang w:val="en-ID"/>
        </w:rPr>
      </w:pPr>
      <w:r w:rsidRPr="00B107AA">
        <w:rPr>
          <w:lang w:val="en-ID"/>
        </w:rPr>
        <w:lastRenderedPageBreak/>
        <w:t xml:space="preserve">Table 2 </w:t>
      </w:r>
    </w:p>
    <w:p w14:paraId="2F6E3A02" w14:textId="77777777" w:rsidR="00B107AA" w:rsidRPr="00B107AA" w:rsidRDefault="00B107AA" w:rsidP="00240EC8">
      <w:pPr>
        <w:pStyle w:val="JANZSSATableLabel"/>
        <w:rPr>
          <w:lang w:val="en-ID"/>
        </w:rPr>
      </w:pPr>
      <w:r w:rsidRPr="00B107AA">
        <w:rPr>
          <w:lang w:val="en-ID"/>
        </w:rPr>
        <w:t>Definitions of College Belongingness Concepts</w:t>
      </w:r>
    </w:p>
    <w:tbl>
      <w:tblPr>
        <w:tblStyle w:val="PlainTable2"/>
        <w:tblpPr w:leftFromText="180" w:rightFromText="180" w:vertAnchor="text" w:horzAnchor="margin" w:tblpY="-10"/>
        <w:tblW w:w="0" w:type="auto"/>
        <w:tblLook w:val="04A0" w:firstRow="1" w:lastRow="0" w:firstColumn="1" w:lastColumn="0" w:noHBand="0" w:noVBand="1"/>
      </w:tblPr>
      <w:tblGrid>
        <w:gridCol w:w="1346"/>
        <w:gridCol w:w="8281"/>
      </w:tblGrid>
      <w:tr w:rsidR="00B107AA" w:rsidRPr="00B107AA" w14:paraId="6774DD4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hideMark/>
          </w:tcPr>
          <w:p w14:paraId="32B43E56" w14:textId="77777777" w:rsidR="00B107AA" w:rsidRPr="00B107AA" w:rsidRDefault="00B107AA" w:rsidP="00B107AA">
            <w:pPr>
              <w:rPr>
                <w:lang w:val="en-ID" w:bidi="fa-IR"/>
              </w:rPr>
            </w:pPr>
            <w:r w:rsidRPr="00B107AA">
              <w:rPr>
                <w:lang w:val="en-ID" w:bidi="fa-IR"/>
              </w:rPr>
              <w:t>Dimension</w:t>
            </w:r>
          </w:p>
        </w:tc>
        <w:tc>
          <w:tcPr>
            <w:tcW w:w="0" w:type="auto"/>
            <w:tcBorders>
              <w:top w:val="single" w:sz="4" w:space="0" w:color="7F7F7F" w:themeColor="text1" w:themeTint="80"/>
              <w:left w:val="nil"/>
              <w:right w:val="nil"/>
            </w:tcBorders>
            <w:hideMark/>
          </w:tcPr>
          <w:p w14:paraId="47C83A64"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en-ID" w:bidi="fa-IR"/>
              </w:rPr>
            </w:pPr>
            <w:r w:rsidRPr="00B107AA">
              <w:rPr>
                <w:lang w:val="en-ID" w:bidi="fa-IR"/>
              </w:rPr>
              <w:t>Definition</w:t>
            </w:r>
          </w:p>
        </w:tc>
      </w:tr>
      <w:tr w:rsidR="00B107AA" w:rsidRPr="00B107AA" w14:paraId="320EEF0A" w14:textId="77777777">
        <w:trPr>
          <w:cnfStyle w:val="100000000000" w:firstRow="1" w:lastRow="0" w:firstColumn="0" w:lastColumn="0" w:oddVBand="0" w:evenVBand="0" w:oddHBand="0" w:evenHBand="0" w:firstRowFirstColumn="0" w:firstRowLastColumn="0" w:lastRowFirstColumn="0" w:lastRowLastColumn="0"/>
          <w:trHeight w:val="603"/>
          <w:tblHead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hideMark/>
          </w:tcPr>
          <w:p w14:paraId="095ABE0D" w14:textId="77777777" w:rsidR="00B107AA" w:rsidRPr="0091446D" w:rsidRDefault="00B107AA" w:rsidP="00B107AA">
            <w:pPr>
              <w:rPr>
                <w:lang w:val="en-ID" w:bidi="fa-IR"/>
              </w:rPr>
            </w:pPr>
            <w:r w:rsidRPr="0091446D">
              <w:rPr>
                <w:lang w:val="en-ID" w:bidi="fa-IR"/>
              </w:rPr>
              <w:t>Social Inclusion</w:t>
            </w:r>
          </w:p>
        </w:tc>
        <w:tc>
          <w:tcPr>
            <w:tcW w:w="0" w:type="auto"/>
            <w:tcBorders>
              <w:top w:val="nil"/>
              <w:left w:val="nil"/>
              <w:right w:val="nil"/>
            </w:tcBorders>
            <w:hideMark/>
          </w:tcPr>
          <w:p w14:paraId="79399B7C" w14:textId="77777777" w:rsidR="00B107AA" w:rsidRPr="00875257" w:rsidRDefault="00B107AA" w:rsidP="00B107AA">
            <w:pPr>
              <w:cnfStyle w:val="100000000000" w:firstRow="1" w:lastRow="0" w:firstColumn="0" w:lastColumn="0" w:oddVBand="0" w:evenVBand="0" w:oddHBand="0" w:evenHBand="0" w:firstRowFirstColumn="0" w:firstRowLastColumn="0" w:lastRowFirstColumn="0" w:lastRowLastColumn="0"/>
              <w:rPr>
                <w:b w:val="0"/>
                <w:bCs w:val="0"/>
                <w:lang w:val="en-ID" w:bidi="fa-IR"/>
              </w:rPr>
            </w:pPr>
            <w:r w:rsidRPr="00875257">
              <w:rPr>
                <w:b w:val="0"/>
                <w:bCs w:val="0"/>
                <w:lang w:val="en-ID" w:bidi="fa-IR"/>
              </w:rPr>
              <w:t xml:space="preserve">Students' perceptions of being valued by the university and feeling important and appreciated as part of the institution are rooted in experiences of acceptance and inclusion within the campus environment. </w:t>
            </w:r>
          </w:p>
        </w:tc>
      </w:tr>
      <w:tr w:rsidR="00B107AA" w:rsidRPr="00B107AA" w14:paraId="5CBD37F1" w14:textId="77777777">
        <w:trPr>
          <w:cnfStyle w:val="100000000000" w:firstRow="1" w:lastRow="0" w:firstColumn="0" w:lastColumn="0" w:oddVBand="0" w:evenVBand="0" w:oddHBand="0" w:evenHBand="0" w:firstRowFirstColumn="0" w:firstRowLastColumn="0" w:lastRowFirstColumn="0" w:lastRowLastColumn="0"/>
          <w:trHeight w:val="555"/>
          <w:tblHead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hideMark/>
          </w:tcPr>
          <w:p w14:paraId="01F52A61" w14:textId="77777777" w:rsidR="00B107AA" w:rsidRPr="0091446D" w:rsidRDefault="00B107AA" w:rsidP="00B107AA">
            <w:pPr>
              <w:rPr>
                <w:lang w:val="en-ID" w:bidi="fa-IR"/>
              </w:rPr>
            </w:pPr>
            <w:r w:rsidRPr="0091446D">
              <w:rPr>
                <w:lang w:val="en-ID" w:bidi="fa-IR"/>
              </w:rPr>
              <w:t>Social Exclusion</w:t>
            </w:r>
          </w:p>
        </w:tc>
        <w:tc>
          <w:tcPr>
            <w:tcW w:w="0" w:type="auto"/>
            <w:tcBorders>
              <w:top w:val="nil"/>
              <w:left w:val="nil"/>
              <w:right w:val="nil"/>
            </w:tcBorders>
            <w:hideMark/>
          </w:tcPr>
          <w:p w14:paraId="35677340" w14:textId="57C5F756" w:rsidR="00B107AA" w:rsidRPr="00875257" w:rsidRDefault="00B107AA" w:rsidP="00B107AA">
            <w:pPr>
              <w:cnfStyle w:val="100000000000" w:firstRow="1" w:lastRow="0" w:firstColumn="0" w:lastColumn="0" w:oddVBand="0" w:evenVBand="0" w:oddHBand="0" w:evenHBand="0" w:firstRowFirstColumn="0" w:firstRowLastColumn="0" w:lastRowFirstColumn="0" w:lastRowLastColumn="0"/>
              <w:rPr>
                <w:b w:val="0"/>
                <w:bCs w:val="0"/>
                <w:lang w:val="en-ID" w:bidi="fa-IR"/>
              </w:rPr>
            </w:pPr>
            <w:r w:rsidRPr="00875257">
              <w:rPr>
                <w:b w:val="0"/>
                <w:bCs w:val="0"/>
                <w:lang w:val="en-ID" w:bidi="fa-IR"/>
              </w:rPr>
              <w:t>Students base their perceptions of not being valued</w:t>
            </w:r>
            <w:r w:rsidR="00EA545D">
              <w:rPr>
                <w:b w:val="0"/>
                <w:bCs w:val="0"/>
                <w:lang w:val="en-ID" w:bidi="fa-IR"/>
              </w:rPr>
              <w:t>,</w:t>
            </w:r>
            <w:r w:rsidRPr="00875257">
              <w:rPr>
                <w:b w:val="0"/>
                <w:bCs w:val="0"/>
                <w:lang w:val="en-ID" w:bidi="fa-IR"/>
              </w:rPr>
              <w:t xml:space="preserve"> feeling unimportant</w:t>
            </w:r>
            <w:r w:rsidR="00350238">
              <w:rPr>
                <w:b w:val="0"/>
                <w:bCs w:val="0"/>
                <w:lang w:val="en-ID" w:bidi="fa-IR"/>
              </w:rPr>
              <w:t>,</w:t>
            </w:r>
            <w:r w:rsidRPr="00875257">
              <w:rPr>
                <w:b w:val="0"/>
                <w:bCs w:val="0"/>
                <w:lang w:val="en-ID" w:bidi="fa-IR"/>
              </w:rPr>
              <w:t xml:space="preserve"> and </w:t>
            </w:r>
            <w:r w:rsidR="00965E11">
              <w:rPr>
                <w:b w:val="0"/>
                <w:bCs w:val="0"/>
                <w:lang w:val="en-ID" w:bidi="fa-IR"/>
              </w:rPr>
              <w:t xml:space="preserve">feeling </w:t>
            </w:r>
            <w:r w:rsidRPr="00875257">
              <w:rPr>
                <w:b w:val="0"/>
                <w:bCs w:val="0"/>
                <w:lang w:val="en-ID" w:bidi="fa-IR"/>
              </w:rPr>
              <w:t>unappreciated within the university community on experiences of rejection or exclusion from the university environment.</w:t>
            </w:r>
          </w:p>
        </w:tc>
      </w:tr>
    </w:tbl>
    <w:p w14:paraId="6217F34A" w14:textId="77777777" w:rsidR="00B107AA" w:rsidRPr="00B107AA" w:rsidRDefault="00B107AA" w:rsidP="00B107AA">
      <w:pPr>
        <w:rPr>
          <w:lang w:val="en-ID" w:bidi="fa-IR"/>
        </w:rPr>
      </w:pPr>
    </w:p>
    <w:p w14:paraId="007EA815" w14:textId="1B19C11B" w:rsidR="00B107AA" w:rsidRPr="00096ACC" w:rsidRDefault="00B107AA" w:rsidP="00096ACC">
      <w:pPr>
        <w:pStyle w:val="JANZSSABodycopy"/>
        <w:rPr>
          <w:lang w:val="en-ID"/>
        </w:rPr>
      </w:pPr>
      <w:r w:rsidRPr="00B107AA">
        <w:rPr>
          <w:lang w:val="en-ID"/>
        </w:rPr>
        <w:t>This study modified the response options of the CBQ instrument. The original CBQ employed a 7-point Likert scale ranging from 1 (strongly disagree) to 7 (strongly agree), which was modified to a 4-point Likert scale ranging from 1 (strongly disagree) to 4 (strongly agree).</w:t>
      </w:r>
    </w:p>
    <w:p w14:paraId="067186C5" w14:textId="3356A380" w:rsidR="00B107AA" w:rsidRPr="00096ACC" w:rsidRDefault="00B107AA" w:rsidP="00096ACC">
      <w:pPr>
        <w:pStyle w:val="JANZSSAHeading3"/>
        <w:rPr>
          <w:lang w:bidi="fa-IR"/>
        </w:rPr>
      </w:pPr>
      <w:r w:rsidRPr="00B107AA">
        <w:rPr>
          <w:lang w:bidi="fa-IR"/>
        </w:rPr>
        <w:t xml:space="preserve">Covariate </w:t>
      </w:r>
      <w:r w:rsidR="0035494D">
        <w:rPr>
          <w:lang w:bidi="fa-IR"/>
        </w:rPr>
        <w:t>v</w:t>
      </w:r>
      <w:r w:rsidRPr="00B107AA">
        <w:rPr>
          <w:lang w:bidi="fa-IR"/>
        </w:rPr>
        <w:t>ariables</w:t>
      </w:r>
    </w:p>
    <w:p w14:paraId="19C13204" w14:textId="2DC0A05C" w:rsidR="00B107AA" w:rsidRPr="00B107AA" w:rsidRDefault="00B107AA" w:rsidP="00240EC8">
      <w:pPr>
        <w:pStyle w:val="JANZSSABodycopy"/>
        <w:spacing w:after="240"/>
        <w:rPr>
          <w:lang w:val="en-ID"/>
        </w:rPr>
      </w:pPr>
      <w:r w:rsidRPr="00B107AA">
        <w:rPr>
          <w:lang w:val="en-ID"/>
        </w:rPr>
        <w:t>The covariate variables in this study consist of two domains: social background and demographic background. Table 3 presents the two domains and their covariate variables, accompanied by the corresponding codes for analysis.</w:t>
      </w:r>
    </w:p>
    <w:p w14:paraId="23A884F1" w14:textId="107FA650" w:rsidR="00B107AA" w:rsidRPr="00B107AA" w:rsidRDefault="00B107AA" w:rsidP="00240EC8">
      <w:pPr>
        <w:pStyle w:val="JANZSSAFigureTableNumber"/>
        <w:rPr>
          <w:lang w:val="en-ID"/>
        </w:rPr>
      </w:pPr>
      <w:r w:rsidRPr="00B107AA">
        <w:rPr>
          <w:lang w:val="en-ID"/>
        </w:rPr>
        <w:t>Table 3</w:t>
      </w:r>
    </w:p>
    <w:p w14:paraId="1300E1F4" w14:textId="77777777" w:rsidR="00B107AA" w:rsidRPr="00B107AA" w:rsidRDefault="00B107AA" w:rsidP="00240EC8">
      <w:pPr>
        <w:pStyle w:val="JANZSSATableLabel"/>
        <w:rPr>
          <w:lang w:val="en-ID"/>
        </w:rPr>
      </w:pPr>
      <w:r w:rsidRPr="00B107AA">
        <w:rPr>
          <w:lang w:val="en-ID"/>
        </w:rPr>
        <w:t>Covariate Variables and Response Code</w:t>
      </w:r>
    </w:p>
    <w:tbl>
      <w:tblPr>
        <w:tblStyle w:val="PlainTable2"/>
        <w:tblW w:w="0" w:type="auto"/>
        <w:tblLook w:val="04A0" w:firstRow="1" w:lastRow="0" w:firstColumn="1" w:lastColumn="0" w:noHBand="0" w:noVBand="1"/>
      </w:tblPr>
      <w:tblGrid>
        <w:gridCol w:w="2552"/>
        <w:gridCol w:w="6095"/>
        <w:gridCol w:w="709"/>
      </w:tblGrid>
      <w:tr w:rsidR="00B107AA" w:rsidRPr="00B107AA" w14:paraId="3E1FB6D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7F7F7F" w:themeColor="text1" w:themeTint="80"/>
              <w:left w:val="nil"/>
              <w:right w:val="nil"/>
            </w:tcBorders>
            <w:hideMark/>
          </w:tcPr>
          <w:p w14:paraId="23E8FD4C" w14:textId="77777777" w:rsidR="00B107AA" w:rsidRPr="00B107AA" w:rsidRDefault="00B107AA" w:rsidP="00B107AA">
            <w:pPr>
              <w:rPr>
                <w:lang w:val="en-ID" w:bidi="fa-IR"/>
              </w:rPr>
            </w:pPr>
            <w:r w:rsidRPr="00B107AA">
              <w:rPr>
                <w:lang w:val="en-ID" w:bidi="fa-IR"/>
              </w:rPr>
              <w:t>Domain</w:t>
            </w:r>
          </w:p>
        </w:tc>
        <w:tc>
          <w:tcPr>
            <w:tcW w:w="6095" w:type="dxa"/>
            <w:tcBorders>
              <w:top w:val="single" w:sz="4" w:space="0" w:color="7F7F7F" w:themeColor="text1" w:themeTint="80"/>
              <w:left w:val="nil"/>
              <w:right w:val="nil"/>
            </w:tcBorders>
            <w:hideMark/>
          </w:tcPr>
          <w:p w14:paraId="3C4A142B"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en-ID" w:bidi="fa-IR"/>
              </w:rPr>
            </w:pPr>
            <w:r w:rsidRPr="00B107AA">
              <w:rPr>
                <w:lang w:val="en-ID" w:bidi="fa-IR"/>
              </w:rPr>
              <w:t>Covariate variables</w:t>
            </w:r>
          </w:p>
        </w:tc>
        <w:tc>
          <w:tcPr>
            <w:tcW w:w="709" w:type="dxa"/>
            <w:tcBorders>
              <w:top w:val="single" w:sz="4" w:space="0" w:color="7F7F7F" w:themeColor="text1" w:themeTint="80"/>
              <w:left w:val="nil"/>
              <w:right w:val="nil"/>
            </w:tcBorders>
            <w:hideMark/>
          </w:tcPr>
          <w:p w14:paraId="00F47B02"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en-ID" w:bidi="fa-IR"/>
              </w:rPr>
            </w:pPr>
            <w:r w:rsidRPr="00B107AA">
              <w:rPr>
                <w:lang w:val="en-ID" w:bidi="fa-IR"/>
              </w:rPr>
              <w:t>Code</w:t>
            </w:r>
          </w:p>
        </w:tc>
      </w:tr>
      <w:tr w:rsidR="00B107AA" w:rsidRPr="00B107AA" w14:paraId="4B5FAD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il"/>
              <w:right w:val="nil"/>
            </w:tcBorders>
          </w:tcPr>
          <w:p w14:paraId="61B6625F" w14:textId="77777777" w:rsidR="00B107AA" w:rsidRPr="00B107AA" w:rsidRDefault="00B107AA" w:rsidP="00B107AA">
            <w:pPr>
              <w:rPr>
                <w:lang w:val="en-ID" w:bidi="fa-IR"/>
              </w:rPr>
            </w:pPr>
            <w:r w:rsidRPr="00B107AA">
              <w:rPr>
                <w:lang w:val="en-ID" w:bidi="fa-IR"/>
              </w:rPr>
              <w:t>Social Background</w:t>
            </w:r>
          </w:p>
          <w:p w14:paraId="2CE8BD04" w14:textId="77777777" w:rsidR="00B107AA" w:rsidRPr="00B107AA" w:rsidRDefault="00B107AA" w:rsidP="00B107AA">
            <w:pPr>
              <w:rPr>
                <w:lang w:val="en-ID" w:bidi="fa-IR"/>
              </w:rPr>
            </w:pPr>
          </w:p>
        </w:tc>
        <w:tc>
          <w:tcPr>
            <w:tcW w:w="6095" w:type="dxa"/>
            <w:tcBorders>
              <w:left w:val="nil"/>
              <w:right w:val="nil"/>
            </w:tcBorders>
            <w:hideMark/>
          </w:tcPr>
          <w:p w14:paraId="77A80882"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Parental education</w:t>
            </w:r>
          </w:p>
          <w:p w14:paraId="045B5D10" w14:textId="77777777" w:rsidR="00B107AA" w:rsidRPr="00B107AA" w:rsidRDefault="00B107AA" w:rsidP="00875257">
            <w:pPr>
              <w:ind w:left="720" w:hanging="411"/>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Never attended college</w:t>
            </w:r>
          </w:p>
          <w:p w14:paraId="400DEFC7" w14:textId="77777777" w:rsidR="00B107AA" w:rsidRPr="00B107AA" w:rsidRDefault="00B107AA" w:rsidP="00875257">
            <w:pPr>
              <w:ind w:left="720" w:hanging="411"/>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Attended college but did not graduate</w:t>
            </w:r>
          </w:p>
          <w:p w14:paraId="71B46B46" w14:textId="77777777" w:rsidR="00B107AA" w:rsidRPr="00B107AA" w:rsidRDefault="00B107AA" w:rsidP="00875257">
            <w:pPr>
              <w:ind w:left="720" w:hanging="411"/>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Graduated from college</w:t>
            </w:r>
          </w:p>
        </w:tc>
        <w:tc>
          <w:tcPr>
            <w:tcW w:w="709" w:type="dxa"/>
            <w:tcBorders>
              <w:left w:val="nil"/>
              <w:right w:val="nil"/>
            </w:tcBorders>
          </w:tcPr>
          <w:p w14:paraId="31844F4C"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p>
          <w:p w14:paraId="3BE2DB9E"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1</w:t>
            </w:r>
          </w:p>
          <w:p w14:paraId="09102168"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2</w:t>
            </w:r>
          </w:p>
          <w:p w14:paraId="4ADE4090"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3</w:t>
            </w:r>
          </w:p>
        </w:tc>
      </w:tr>
      <w:tr w:rsidR="00B107AA" w:rsidRPr="00B107AA" w14:paraId="4FC7E50C" w14:textId="77777777">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4" w:space="0" w:color="7F7F7F" w:themeColor="text1" w:themeTint="80"/>
              <w:right w:val="nil"/>
            </w:tcBorders>
            <w:hideMark/>
          </w:tcPr>
          <w:p w14:paraId="308F0101" w14:textId="77777777" w:rsidR="00B107AA" w:rsidRPr="00B107AA" w:rsidRDefault="00B107AA" w:rsidP="00B107AA">
            <w:pPr>
              <w:rPr>
                <w:lang w:val="en-ID" w:bidi="fa-IR"/>
              </w:rPr>
            </w:pPr>
            <w:r w:rsidRPr="00B107AA">
              <w:rPr>
                <w:lang w:val="en-ID" w:bidi="fa-IR"/>
              </w:rPr>
              <w:t>Demographic Background</w:t>
            </w:r>
          </w:p>
        </w:tc>
        <w:tc>
          <w:tcPr>
            <w:tcW w:w="6095" w:type="dxa"/>
            <w:tcBorders>
              <w:top w:val="nil"/>
              <w:left w:val="nil"/>
              <w:bottom w:val="single" w:sz="4" w:space="0" w:color="7F7F7F" w:themeColor="text1" w:themeTint="80"/>
              <w:right w:val="nil"/>
            </w:tcBorders>
            <w:hideMark/>
          </w:tcPr>
          <w:p w14:paraId="79265B7A"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Region of origin</w:t>
            </w:r>
          </w:p>
          <w:p w14:paraId="4F904889" w14:textId="77777777" w:rsidR="00B107AA" w:rsidRPr="00B107AA" w:rsidRDefault="00B107AA" w:rsidP="00875257">
            <w:pPr>
              <w:ind w:left="309"/>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Palembang city</w:t>
            </w:r>
          </w:p>
          <w:p w14:paraId="6D3B9B4A" w14:textId="77777777" w:rsidR="00B107AA" w:rsidRPr="00B107AA" w:rsidRDefault="00B107AA" w:rsidP="00875257">
            <w:pPr>
              <w:ind w:left="309"/>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Areas within South Sumatra</w:t>
            </w:r>
          </w:p>
          <w:p w14:paraId="22C158D3" w14:textId="77777777" w:rsidR="00B107AA" w:rsidRPr="00B107AA" w:rsidRDefault="00B107AA" w:rsidP="00875257">
            <w:pPr>
              <w:ind w:left="309"/>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Outside South Sumatra</w:t>
            </w:r>
          </w:p>
          <w:p w14:paraId="6E7962B4"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Distance from residence to campus</w:t>
            </w:r>
          </w:p>
          <w:p w14:paraId="41CC7B3E" w14:textId="77777777" w:rsidR="00B107AA" w:rsidRPr="00B107AA" w:rsidRDefault="00B107AA" w:rsidP="00875257">
            <w:pPr>
              <w:ind w:left="720" w:hanging="411"/>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 xml:space="preserve">Less than 5 km </w:t>
            </w:r>
          </w:p>
          <w:p w14:paraId="5CA0CA12" w14:textId="18B0431B" w:rsidR="00B107AA" w:rsidRPr="00B107AA" w:rsidRDefault="00B107AA" w:rsidP="00875257">
            <w:pPr>
              <w:ind w:left="720" w:hanging="411"/>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5 km–10 km</w:t>
            </w:r>
          </w:p>
          <w:p w14:paraId="1F74F87F" w14:textId="2C4902DB" w:rsidR="00B107AA" w:rsidRPr="00B107AA" w:rsidRDefault="00B107AA" w:rsidP="00875257">
            <w:pPr>
              <w:ind w:left="720" w:hanging="411"/>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10 km–20 km</w:t>
            </w:r>
          </w:p>
          <w:p w14:paraId="656DDF73" w14:textId="184FDC0C" w:rsidR="00B107AA" w:rsidRPr="00B107AA" w:rsidRDefault="00B107AA" w:rsidP="00875257">
            <w:pPr>
              <w:ind w:left="720" w:hanging="411"/>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20 km–30 km</w:t>
            </w:r>
          </w:p>
          <w:p w14:paraId="43222B46" w14:textId="77777777" w:rsidR="00B107AA" w:rsidRPr="00B107AA" w:rsidRDefault="00B107AA" w:rsidP="00875257">
            <w:pPr>
              <w:ind w:left="720" w:hanging="411"/>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More than 30 km</w:t>
            </w:r>
          </w:p>
          <w:p w14:paraId="10E2F6DF"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Living arrangement during studies</w:t>
            </w:r>
          </w:p>
          <w:p w14:paraId="6E2585B3" w14:textId="77777777" w:rsidR="00B107AA" w:rsidRPr="00B107AA" w:rsidRDefault="00B107AA" w:rsidP="00875257">
            <w:pPr>
              <w:ind w:left="720" w:hanging="411"/>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Living with parents</w:t>
            </w:r>
          </w:p>
          <w:p w14:paraId="3087292D" w14:textId="77777777" w:rsidR="00B107AA" w:rsidRPr="00B107AA" w:rsidRDefault="00B107AA" w:rsidP="00875257">
            <w:pPr>
              <w:ind w:left="720" w:hanging="411"/>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Living independently by renting a boarding house or leasing a house</w:t>
            </w:r>
          </w:p>
          <w:p w14:paraId="4C4374A5" w14:textId="1DCB3BE5" w:rsidR="00B107AA" w:rsidRPr="00B107AA" w:rsidRDefault="00B107AA" w:rsidP="00875257">
            <w:pPr>
              <w:ind w:left="720" w:hanging="411"/>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 xml:space="preserve">Living with relatives/family’s/friends’ home </w:t>
            </w:r>
          </w:p>
        </w:tc>
        <w:tc>
          <w:tcPr>
            <w:tcW w:w="709" w:type="dxa"/>
            <w:tcBorders>
              <w:top w:val="nil"/>
              <w:left w:val="nil"/>
              <w:bottom w:val="single" w:sz="4" w:space="0" w:color="7F7F7F" w:themeColor="text1" w:themeTint="80"/>
              <w:right w:val="nil"/>
            </w:tcBorders>
          </w:tcPr>
          <w:p w14:paraId="52DEBADA"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p>
          <w:p w14:paraId="45B32007"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1</w:t>
            </w:r>
          </w:p>
          <w:p w14:paraId="03E0766D"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2</w:t>
            </w:r>
          </w:p>
          <w:p w14:paraId="552BEAD2"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3</w:t>
            </w:r>
          </w:p>
          <w:p w14:paraId="10DC4F1C"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p>
          <w:p w14:paraId="6ED3B053"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1</w:t>
            </w:r>
          </w:p>
          <w:p w14:paraId="4A20411C"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2</w:t>
            </w:r>
          </w:p>
          <w:p w14:paraId="526EAACF"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3</w:t>
            </w:r>
          </w:p>
          <w:p w14:paraId="7A9BA6A8"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4</w:t>
            </w:r>
          </w:p>
          <w:p w14:paraId="4055649B"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5</w:t>
            </w:r>
          </w:p>
          <w:p w14:paraId="2701659A"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p>
          <w:p w14:paraId="7BA38FDF"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1</w:t>
            </w:r>
          </w:p>
          <w:p w14:paraId="4CD3506D"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2</w:t>
            </w:r>
          </w:p>
          <w:p w14:paraId="61C14D85"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3</w:t>
            </w:r>
          </w:p>
        </w:tc>
      </w:tr>
    </w:tbl>
    <w:p w14:paraId="42AACF42" w14:textId="77777777" w:rsidR="00B107AA" w:rsidRPr="00B107AA" w:rsidRDefault="00B107AA" w:rsidP="00B107AA">
      <w:pPr>
        <w:rPr>
          <w:b/>
          <w:bCs/>
          <w:i/>
          <w:iCs/>
          <w:lang w:val="en-ID" w:bidi="fa-IR"/>
        </w:rPr>
      </w:pPr>
    </w:p>
    <w:p w14:paraId="33BD5282" w14:textId="18C5843B" w:rsidR="00B107AA" w:rsidRPr="00096ACC" w:rsidRDefault="00B107AA" w:rsidP="00096ACC">
      <w:pPr>
        <w:pStyle w:val="JANZSSAHeading2"/>
        <w:rPr>
          <w:lang w:bidi="fa-IR"/>
        </w:rPr>
      </w:pPr>
      <w:r w:rsidRPr="00B107AA">
        <w:rPr>
          <w:lang w:bidi="fa-IR"/>
        </w:rPr>
        <w:t xml:space="preserve">CBQ </w:t>
      </w:r>
      <w:r w:rsidR="0035494D">
        <w:rPr>
          <w:lang w:bidi="fa-IR"/>
        </w:rPr>
        <w:t>a</w:t>
      </w:r>
      <w:r w:rsidRPr="00B107AA">
        <w:rPr>
          <w:lang w:bidi="fa-IR"/>
        </w:rPr>
        <w:t>daptation</w:t>
      </w:r>
    </w:p>
    <w:p w14:paraId="53AA5738" w14:textId="269CE81F" w:rsidR="00B107AA" w:rsidRPr="00B107AA" w:rsidRDefault="00B107AA" w:rsidP="00096ACC">
      <w:pPr>
        <w:pStyle w:val="JANZSSABodycopy"/>
      </w:pPr>
      <w:r w:rsidRPr="00B107AA">
        <w:t>The adaptation process in this study followed the guidelines proposed by Gudmundsson (2009).</w:t>
      </w:r>
    </w:p>
    <w:p w14:paraId="7842F751" w14:textId="65A006F8" w:rsidR="00B107AA" w:rsidRPr="00B107AA" w:rsidRDefault="00B107AA" w:rsidP="00096ACC">
      <w:pPr>
        <w:pStyle w:val="JANZSSAHeading2"/>
        <w:rPr>
          <w:lang w:bidi="fa-IR"/>
        </w:rPr>
      </w:pPr>
      <w:r w:rsidRPr="00B107AA">
        <w:rPr>
          <w:lang w:bidi="fa-IR"/>
        </w:rPr>
        <w:t xml:space="preserve">CBQ </w:t>
      </w:r>
      <w:r w:rsidR="0035494D">
        <w:rPr>
          <w:lang w:bidi="fa-IR"/>
        </w:rPr>
        <w:t>v</w:t>
      </w:r>
      <w:r w:rsidRPr="00B107AA">
        <w:rPr>
          <w:lang w:bidi="fa-IR"/>
        </w:rPr>
        <w:t xml:space="preserve">alidation and </w:t>
      </w:r>
      <w:r w:rsidR="0035494D">
        <w:rPr>
          <w:lang w:bidi="fa-IR"/>
        </w:rPr>
        <w:t>r</w:t>
      </w:r>
      <w:r w:rsidRPr="00B107AA">
        <w:rPr>
          <w:lang w:bidi="fa-IR"/>
        </w:rPr>
        <w:t>eliability</w:t>
      </w:r>
    </w:p>
    <w:p w14:paraId="50684646" w14:textId="56D13697" w:rsidR="00B107AA" w:rsidRDefault="00B107AA" w:rsidP="00F324F7">
      <w:pPr>
        <w:pStyle w:val="JANZSSABodycopy"/>
        <w:rPr>
          <w:lang w:val="en-ID"/>
        </w:rPr>
      </w:pPr>
      <w:r w:rsidRPr="00B107AA">
        <w:rPr>
          <w:lang w:val="en-ID"/>
        </w:rPr>
        <w:t xml:space="preserve">The Indonesian-adapted version of the CBQ was validated through content validity testing using </w:t>
      </w:r>
      <w:bookmarkStart w:id="1" w:name="_Hlk199946852"/>
      <w:r w:rsidRPr="00B107AA">
        <w:rPr>
          <w:lang w:val="en-ID"/>
        </w:rPr>
        <w:t>Aiken's V index</w:t>
      </w:r>
      <w:bookmarkEnd w:id="1"/>
      <w:r w:rsidRPr="00B107AA">
        <w:rPr>
          <w:lang w:val="en-ID"/>
        </w:rPr>
        <w:t xml:space="preserve"> and construct validity testing via confirmatory factor analysis (CFA). Construct validity was evaluated through convergent validity and construct reliability. Convergent validity assesses the degree to which individual items explain the variance of the overall construct (Hair et al., 2014). It is determined based on the factor loadings of each item, where Hair et al. (2014) </w:t>
      </w:r>
      <w:r w:rsidRPr="00B107AA">
        <w:rPr>
          <w:lang w:val="en-ID"/>
        </w:rPr>
        <w:lastRenderedPageBreak/>
        <w:t>recommend acceptable loadings to be above 0.5. However, factor loadings as low as 0.4 can still be considered acceptable, provided the sample size is at least 200.</w:t>
      </w:r>
    </w:p>
    <w:p w14:paraId="10B67C63" w14:textId="4FF54E4E" w:rsidR="00907B65" w:rsidRPr="00B107AA" w:rsidRDefault="00907B65" w:rsidP="00F324F7">
      <w:pPr>
        <w:pStyle w:val="JANZSSABodycopy"/>
        <w:rPr>
          <w:lang w:val="en-ID"/>
        </w:rPr>
      </w:pPr>
      <w:r w:rsidRPr="00907B65">
        <w:t xml:space="preserve">Furthermore, this study assessed internal consistency reliability using McDonald’s omega coefficient (ω). </w:t>
      </w:r>
      <w:proofErr w:type="spellStart"/>
      <w:r w:rsidRPr="00907B65">
        <w:t>Zinbarg</w:t>
      </w:r>
      <w:proofErr w:type="spellEnd"/>
      <w:r w:rsidRPr="00907B65">
        <w:t xml:space="preserve"> et al. (2005) noted that Cronbach’s alpha is only one of several reliability coefficients and that its widespread use may be problematic when its underlying assumptions are not met. As an alternative, they discussed omega-based reliability estimates derived from factor-analytic models, which can provide a more appropriate representation of reliability in many applied research contexts (</w:t>
      </w:r>
      <w:proofErr w:type="spellStart"/>
      <w:r w:rsidRPr="00907B65">
        <w:t>Zinbarg</w:t>
      </w:r>
      <w:proofErr w:type="spellEnd"/>
      <w:r w:rsidRPr="00907B65">
        <w:t xml:space="preserve"> et al., 2005).</w:t>
      </w:r>
    </w:p>
    <w:p w14:paraId="3421A1F7" w14:textId="59E1CFD9" w:rsidR="00B107AA" w:rsidRPr="00B107AA" w:rsidRDefault="00B107AA" w:rsidP="00096ACC">
      <w:pPr>
        <w:pStyle w:val="JANZSSABodycopy"/>
        <w:rPr>
          <w:lang w:val="en-ID"/>
        </w:rPr>
      </w:pPr>
      <w:r w:rsidRPr="00B107AA">
        <w:rPr>
          <w:lang w:val="en-ID"/>
        </w:rPr>
        <w:t>In addition, the researchers employed CFA to evaluate the measurement model's goodness-of-fit indices. The indices used include chi-square (χ²), comparative fit index (CFI), Tucker-</w:t>
      </w:r>
      <w:proofErr w:type="gramStart"/>
      <w:r w:rsidRPr="00B107AA">
        <w:rPr>
          <w:lang w:val="en-ID"/>
        </w:rPr>
        <w:t>Lewis</w:t>
      </w:r>
      <w:proofErr w:type="gramEnd"/>
      <w:r w:rsidRPr="00B107AA">
        <w:rPr>
          <w:lang w:val="en-ID"/>
        </w:rPr>
        <w:t xml:space="preserve"> index (TLI), goodness of fit index (GFI), and root mean square error of approximation (RMSEA). The researchers interpreted model fit according to criteria proposed by Hu and Bentler (1999), indicating acceptable fit when CFI, TLI, and GFI values exceed 0.90 and RMSEA is less than 0.08 (Browne &amp; </w:t>
      </w:r>
      <w:proofErr w:type="spellStart"/>
      <w:r w:rsidRPr="00B107AA">
        <w:rPr>
          <w:lang w:val="en-ID"/>
        </w:rPr>
        <w:t>Cudeck</w:t>
      </w:r>
      <w:proofErr w:type="spellEnd"/>
      <w:r w:rsidRPr="00B107AA">
        <w:rPr>
          <w:lang w:val="en-ID"/>
        </w:rPr>
        <w:t>, 1992).</w:t>
      </w:r>
    </w:p>
    <w:p w14:paraId="41642677" w14:textId="1A7BFF30" w:rsidR="00B107AA" w:rsidRPr="00096ACC" w:rsidRDefault="00B107AA" w:rsidP="00096ACC">
      <w:pPr>
        <w:pStyle w:val="JANZSSAHeading1"/>
        <w:rPr>
          <w:lang w:val="en-ID" w:bidi="fa-IR"/>
        </w:rPr>
      </w:pPr>
      <w:r w:rsidRPr="00B107AA">
        <w:rPr>
          <w:lang w:val="en-ID" w:bidi="fa-IR"/>
        </w:rPr>
        <w:t>Results</w:t>
      </w:r>
    </w:p>
    <w:p w14:paraId="25044B88" w14:textId="286FC67D" w:rsidR="00B107AA" w:rsidRPr="00B107AA" w:rsidRDefault="00B107AA" w:rsidP="00096ACC">
      <w:pPr>
        <w:pStyle w:val="JANZSSAHeading2"/>
        <w:rPr>
          <w:lang w:bidi="fa-IR"/>
        </w:rPr>
      </w:pPr>
      <w:r w:rsidRPr="00A405DC">
        <w:rPr>
          <w:lang w:bidi="fa-IR"/>
        </w:rPr>
        <w:t xml:space="preserve">Statistical </w:t>
      </w:r>
      <w:r w:rsidR="004F01AF" w:rsidRPr="00A405DC">
        <w:rPr>
          <w:lang w:bidi="fa-IR"/>
        </w:rPr>
        <w:t>d</w:t>
      </w:r>
      <w:r w:rsidRPr="00A405DC">
        <w:rPr>
          <w:lang w:bidi="fa-IR"/>
        </w:rPr>
        <w:t>escriptive</w:t>
      </w:r>
    </w:p>
    <w:p w14:paraId="134FCF97" w14:textId="39B75C8C" w:rsidR="00B107AA" w:rsidRPr="00B107AA" w:rsidRDefault="00B107AA" w:rsidP="00F324F7">
      <w:pPr>
        <w:pStyle w:val="JANZSSABodycopy"/>
        <w:rPr>
          <w:lang w:val="en-ID"/>
        </w:rPr>
      </w:pPr>
      <w:r w:rsidRPr="00B107AA">
        <w:rPr>
          <w:lang w:val="en-ID"/>
        </w:rPr>
        <w:t>Data w</w:t>
      </w:r>
      <w:r w:rsidR="00CB3291">
        <w:rPr>
          <w:lang w:val="en-ID"/>
        </w:rPr>
        <w:t>ere</w:t>
      </w:r>
      <w:r w:rsidRPr="00B107AA">
        <w:rPr>
          <w:lang w:val="en-ID"/>
        </w:rPr>
        <w:t xml:space="preserve"> analy</w:t>
      </w:r>
      <w:r w:rsidR="00C843B8">
        <w:rPr>
          <w:lang w:val="en-ID"/>
        </w:rPr>
        <w:t>s</w:t>
      </w:r>
      <w:r w:rsidRPr="00B107AA">
        <w:rPr>
          <w:lang w:val="en-ID"/>
        </w:rPr>
        <w:t>ed using JASP software to obtain the college belongingness variables' mean and standard deviation values, and frequency and percentage of the covariate variable. The results indicated that the social inclusion dimension had a mean score of 15.242 with a standard deviation of 1.843. Meanwhile, the social exclusion dimension yielded a mean score of 9.010 with a standard deviation of 2.348.</w:t>
      </w:r>
    </w:p>
    <w:p w14:paraId="430ED5EC" w14:textId="00478195" w:rsidR="0091446D" w:rsidRPr="003B1750" w:rsidRDefault="00B107AA" w:rsidP="003B1750">
      <w:pPr>
        <w:pStyle w:val="JANZSSABodycopy"/>
        <w:spacing w:after="240"/>
        <w:rPr>
          <w:lang w:val="en-ID"/>
        </w:rPr>
      </w:pPr>
      <w:r w:rsidRPr="00B107AA">
        <w:rPr>
          <w:lang w:val="en-ID"/>
        </w:rPr>
        <w:t xml:space="preserve">The researchers present the data on the covariate variables in frequency and percentage. Regarding parental education level, participants whose parents did not pursue higher education constituted the </w:t>
      </w:r>
      <w:r w:rsidR="00965E11">
        <w:rPr>
          <w:lang w:val="en-ID"/>
        </w:rPr>
        <w:t xml:space="preserve">highest </w:t>
      </w:r>
      <w:r w:rsidRPr="00B107AA">
        <w:rPr>
          <w:lang w:val="en-ID"/>
        </w:rPr>
        <w:t>frequency. Similarly, participants originating from Palembang City recorded the highest frequency compared to other regions. Students living less than 5 k</w:t>
      </w:r>
      <w:r w:rsidR="00A405DC">
        <w:rPr>
          <w:lang w:val="en-ID"/>
        </w:rPr>
        <w:t>ilometres</w:t>
      </w:r>
      <w:r w:rsidRPr="00B107AA">
        <w:rPr>
          <w:lang w:val="en-ID"/>
        </w:rPr>
        <w:t xml:space="preserve"> from campus showed a higher frequency regarding residential distance. Additionally, students residing in rented rooms or boarding houses were </w:t>
      </w:r>
      <w:r w:rsidR="00BD64CD">
        <w:rPr>
          <w:lang w:val="en-ID"/>
        </w:rPr>
        <w:t>the</w:t>
      </w:r>
      <w:r w:rsidRPr="00B107AA">
        <w:rPr>
          <w:lang w:val="en-ID"/>
        </w:rPr>
        <w:t xml:space="preserve"> predominant</w:t>
      </w:r>
      <w:r w:rsidR="00BD64CD">
        <w:rPr>
          <w:lang w:val="en-ID"/>
        </w:rPr>
        <w:t xml:space="preserve"> living arrangement</w:t>
      </w:r>
      <w:r w:rsidRPr="00B107AA">
        <w:rPr>
          <w:lang w:val="en-ID"/>
        </w:rPr>
        <w:t>. Table 4 presents a complete statistical description of the participants.</w:t>
      </w:r>
    </w:p>
    <w:p w14:paraId="4EDE9AF7" w14:textId="77777777" w:rsidR="00AE719D" w:rsidRDefault="00AE719D">
      <w:pPr>
        <w:rPr>
          <w:b/>
          <w:bCs/>
          <w:noProof/>
          <w:szCs w:val="20"/>
          <w:lang w:val="en-ID" w:bidi="bn-IN"/>
        </w:rPr>
      </w:pPr>
      <w:r>
        <w:rPr>
          <w:lang w:val="en-ID"/>
        </w:rPr>
        <w:br w:type="page"/>
      </w:r>
    </w:p>
    <w:p w14:paraId="1169A117" w14:textId="2C3380BD" w:rsidR="00B107AA" w:rsidRPr="00B107AA" w:rsidRDefault="00B107AA" w:rsidP="00096ACC">
      <w:pPr>
        <w:pStyle w:val="JANZSSAFigureTableNumber"/>
        <w:rPr>
          <w:lang w:val="en-ID"/>
        </w:rPr>
      </w:pPr>
      <w:r w:rsidRPr="00B107AA">
        <w:rPr>
          <w:lang w:val="en-ID"/>
        </w:rPr>
        <w:lastRenderedPageBreak/>
        <w:t>Table 4</w:t>
      </w:r>
    </w:p>
    <w:p w14:paraId="1CC4B202" w14:textId="672FC298" w:rsidR="00B107AA" w:rsidRPr="00B107AA" w:rsidRDefault="00B107AA" w:rsidP="00096ACC">
      <w:pPr>
        <w:pStyle w:val="JANZSSATableLabel"/>
        <w:rPr>
          <w:lang w:val="en-ID"/>
        </w:rPr>
      </w:pPr>
      <w:r w:rsidRPr="00B107AA">
        <w:rPr>
          <w:lang w:val="en-ID"/>
        </w:rPr>
        <w:t>Descriptive Statistics</w:t>
      </w:r>
    </w:p>
    <w:tbl>
      <w:tblPr>
        <w:tblStyle w:val="PlainTable2"/>
        <w:tblW w:w="7515" w:type="dxa"/>
        <w:tblLayout w:type="fixed"/>
        <w:tblLook w:val="04A0" w:firstRow="1" w:lastRow="0" w:firstColumn="1" w:lastColumn="0" w:noHBand="0" w:noVBand="1"/>
      </w:tblPr>
      <w:tblGrid>
        <w:gridCol w:w="4500"/>
        <w:gridCol w:w="1456"/>
        <w:gridCol w:w="1559"/>
      </w:tblGrid>
      <w:tr w:rsidR="00B107AA" w:rsidRPr="00B107AA" w14:paraId="459251B2" w14:textId="77777777" w:rsidTr="0091446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7F7F7F" w:themeColor="text1" w:themeTint="80"/>
              <w:left w:val="nil"/>
              <w:right w:val="nil"/>
            </w:tcBorders>
            <w:vAlign w:val="center"/>
            <w:hideMark/>
          </w:tcPr>
          <w:p w14:paraId="40EDC8D9" w14:textId="77777777" w:rsidR="00B107AA" w:rsidRPr="00B107AA" w:rsidRDefault="00B107AA" w:rsidP="00B107AA">
            <w:pPr>
              <w:rPr>
                <w:lang w:val="id-ID" w:bidi="fa-IR"/>
              </w:rPr>
            </w:pPr>
            <w:r w:rsidRPr="00B107AA">
              <w:rPr>
                <w:lang w:val="id-ID" w:bidi="fa-IR"/>
              </w:rPr>
              <w:t>Variable</w:t>
            </w:r>
          </w:p>
        </w:tc>
        <w:tc>
          <w:tcPr>
            <w:tcW w:w="1456" w:type="dxa"/>
            <w:tcBorders>
              <w:top w:val="single" w:sz="4" w:space="0" w:color="7F7F7F" w:themeColor="text1" w:themeTint="80"/>
              <w:left w:val="nil"/>
              <w:right w:val="nil"/>
            </w:tcBorders>
            <w:vAlign w:val="center"/>
            <w:hideMark/>
          </w:tcPr>
          <w:p w14:paraId="7D3F09AA"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id-ID" w:bidi="fa-IR"/>
              </w:rPr>
            </w:pPr>
            <w:r w:rsidRPr="00B107AA">
              <w:rPr>
                <w:lang w:val="id-ID" w:bidi="fa-IR"/>
              </w:rPr>
              <w:t>Frequency (</w:t>
            </w:r>
            <w:r w:rsidRPr="004B1A66">
              <w:rPr>
                <w:i/>
                <w:iCs/>
                <w:lang w:val="id-ID" w:bidi="fa-IR"/>
              </w:rPr>
              <w:t>n</w:t>
            </w:r>
            <w:r w:rsidRPr="00B107AA">
              <w:rPr>
                <w:lang w:val="id-ID" w:bidi="fa-IR"/>
              </w:rPr>
              <w:t>)</w:t>
            </w:r>
          </w:p>
        </w:tc>
        <w:tc>
          <w:tcPr>
            <w:tcW w:w="1559" w:type="dxa"/>
            <w:tcBorders>
              <w:top w:val="single" w:sz="4" w:space="0" w:color="7F7F7F" w:themeColor="text1" w:themeTint="80"/>
              <w:left w:val="nil"/>
              <w:right w:val="nil"/>
            </w:tcBorders>
            <w:vAlign w:val="center"/>
            <w:hideMark/>
          </w:tcPr>
          <w:p w14:paraId="7662C0FB"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id-ID" w:bidi="fa-IR"/>
              </w:rPr>
            </w:pPr>
            <w:r w:rsidRPr="00B107AA">
              <w:rPr>
                <w:lang w:val="id-ID" w:bidi="fa-IR"/>
              </w:rPr>
              <w:t>Percentage (%)</w:t>
            </w:r>
          </w:p>
        </w:tc>
      </w:tr>
      <w:tr w:rsidR="00B107AA" w:rsidRPr="00B107AA" w14:paraId="76FC7416" w14:textId="77777777" w:rsidTr="00914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left w:val="nil"/>
              <w:right w:val="nil"/>
            </w:tcBorders>
            <w:hideMark/>
          </w:tcPr>
          <w:p w14:paraId="195504E4" w14:textId="100D2A33" w:rsidR="00B107AA" w:rsidRPr="00B107AA" w:rsidRDefault="00B107AA" w:rsidP="0091446D">
            <w:pPr>
              <w:rPr>
                <w:lang w:val="id-ID" w:bidi="fa-IR"/>
              </w:rPr>
            </w:pPr>
            <w:r w:rsidRPr="00B107AA">
              <w:rPr>
                <w:lang w:val="id-ID" w:bidi="fa-IR"/>
              </w:rPr>
              <w:t>Education</w:t>
            </w:r>
          </w:p>
          <w:p w14:paraId="6DA94F87" w14:textId="77777777" w:rsidR="00B107AA" w:rsidRPr="00B107AA" w:rsidRDefault="00B107AA" w:rsidP="0091446D">
            <w:pPr>
              <w:ind w:left="254"/>
              <w:rPr>
                <w:lang w:val="id-ID" w:bidi="fa-IR"/>
              </w:rPr>
            </w:pPr>
            <w:r w:rsidRPr="00B107AA">
              <w:rPr>
                <w:lang w:val="id-ID" w:bidi="fa-IR"/>
              </w:rPr>
              <w:t>Father</w:t>
            </w:r>
          </w:p>
          <w:p w14:paraId="135CF0CC" w14:textId="77777777" w:rsidR="00B107AA" w:rsidRPr="0091446D" w:rsidRDefault="00B107AA" w:rsidP="0091446D">
            <w:pPr>
              <w:ind w:left="974" w:hanging="466"/>
              <w:rPr>
                <w:b w:val="0"/>
                <w:bCs w:val="0"/>
                <w:lang w:val="en-ID" w:bidi="fa-IR"/>
              </w:rPr>
            </w:pPr>
            <w:r w:rsidRPr="0091446D">
              <w:rPr>
                <w:b w:val="0"/>
                <w:bCs w:val="0"/>
                <w:lang w:bidi="fa-IR"/>
              </w:rPr>
              <w:t>1. Never attended college</w:t>
            </w:r>
          </w:p>
          <w:p w14:paraId="6F8E743C" w14:textId="77777777" w:rsidR="00B107AA" w:rsidRPr="0091446D" w:rsidRDefault="00B107AA" w:rsidP="0091446D">
            <w:pPr>
              <w:ind w:left="974" w:hanging="466"/>
              <w:rPr>
                <w:b w:val="0"/>
                <w:bCs w:val="0"/>
                <w:lang w:val="id-ID" w:bidi="fa-IR"/>
              </w:rPr>
            </w:pPr>
            <w:r w:rsidRPr="0091446D">
              <w:rPr>
                <w:b w:val="0"/>
                <w:bCs w:val="0"/>
                <w:lang w:bidi="fa-IR"/>
              </w:rPr>
              <w:t>2. Attended but did not complete college</w:t>
            </w:r>
          </w:p>
          <w:p w14:paraId="470E0F7E" w14:textId="77777777" w:rsidR="00B107AA" w:rsidRPr="0091446D" w:rsidRDefault="00B107AA" w:rsidP="0091446D">
            <w:pPr>
              <w:ind w:left="974" w:hanging="466"/>
              <w:rPr>
                <w:b w:val="0"/>
                <w:bCs w:val="0"/>
                <w:lang w:val="id-ID" w:bidi="fa-IR"/>
              </w:rPr>
            </w:pPr>
            <w:r w:rsidRPr="0091446D">
              <w:rPr>
                <w:b w:val="0"/>
                <w:bCs w:val="0"/>
                <w:lang w:bidi="fa-IR"/>
              </w:rPr>
              <w:t>3. College Graduate</w:t>
            </w:r>
          </w:p>
          <w:p w14:paraId="01752B9F" w14:textId="77777777" w:rsidR="00B107AA" w:rsidRPr="00B107AA" w:rsidRDefault="00B107AA" w:rsidP="0091446D">
            <w:pPr>
              <w:ind w:left="254"/>
              <w:rPr>
                <w:lang w:val="id-ID" w:bidi="fa-IR"/>
              </w:rPr>
            </w:pPr>
            <w:r w:rsidRPr="00B107AA">
              <w:rPr>
                <w:lang w:val="id-ID" w:bidi="fa-IR"/>
              </w:rPr>
              <w:t>Mother</w:t>
            </w:r>
          </w:p>
          <w:p w14:paraId="071713E2" w14:textId="77777777" w:rsidR="00B107AA" w:rsidRPr="0091446D" w:rsidRDefault="00B107AA" w:rsidP="0091446D">
            <w:pPr>
              <w:ind w:left="974" w:hanging="466"/>
              <w:rPr>
                <w:b w:val="0"/>
                <w:bCs w:val="0"/>
                <w:lang w:val="en-ID" w:bidi="fa-IR"/>
              </w:rPr>
            </w:pPr>
            <w:r w:rsidRPr="0091446D">
              <w:rPr>
                <w:b w:val="0"/>
                <w:bCs w:val="0"/>
                <w:lang w:bidi="fa-IR"/>
              </w:rPr>
              <w:t>1. Never attended college</w:t>
            </w:r>
          </w:p>
          <w:p w14:paraId="1B628385" w14:textId="77777777" w:rsidR="00B107AA" w:rsidRPr="0091446D" w:rsidRDefault="00B107AA" w:rsidP="0091446D">
            <w:pPr>
              <w:ind w:left="974" w:hanging="466"/>
              <w:rPr>
                <w:b w:val="0"/>
                <w:bCs w:val="0"/>
                <w:lang w:val="id-ID" w:bidi="fa-IR"/>
              </w:rPr>
            </w:pPr>
            <w:r w:rsidRPr="0091446D">
              <w:rPr>
                <w:b w:val="0"/>
                <w:bCs w:val="0"/>
                <w:lang w:bidi="fa-IR"/>
              </w:rPr>
              <w:t>2. Attended but did not complete college</w:t>
            </w:r>
          </w:p>
          <w:p w14:paraId="2D5C500F" w14:textId="77777777" w:rsidR="00B107AA" w:rsidRPr="00B107AA" w:rsidRDefault="00B107AA" w:rsidP="0091446D">
            <w:pPr>
              <w:ind w:left="974" w:hanging="466"/>
              <w:rPr>
                <w:lang w:val="id-ID" w:bidi="fa-IR"/>
              </w:rPr>
            </w:pPr>
            <w:r w:rsidRPr="0091446D">
              <w:rPr>
                <w:b w:val="0"/>
                <w:bCs w:val="0"/>
                <w:lang w:bidi="fa-IR"/>
              </w:rPr>
              <w:t>3. College Graduate</w:t>
            </w:r>
          </w:p>
        </w:tc>
        <w:tc>
          <w:tcPr>
            <w:tcW w:w="1456" w:type="dxa"/>
            <w:tcBorders>
              <w:left w:val="nil"/>
              <w:right w:val="nil"/>
            </w:tcBorders>
          </w:tcPr>
          <w:p w14:paraId="49781D43"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20077250"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58B9367C"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209</w:t>
            </w:r>
          </w:p>
          <w:p w14:paraId="546C2191"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28</w:t>
            </w:r>
          </w:p>
          <w:p w14:paraId="53508E71"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163</w:t>
            </w:r>
          </w:p>
          <w:p w14:paraId="54756BED"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37BA4C00"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218</w:t>
            </w:r>
          </w:p>
          <w:p w14:paraId="01025ADE"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21</w:t>
            </w:r>
          </w:p>
          <w:p w14:paraId="5264B955"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161</w:t>
            </w:r>
          </w:p>
        </w:tc>
        <w:tc>
          <w:tcPr>
            <w:tcW w:w="1559" w:type="dxa"/>
            <w:tcBorders>
              <w:left w:val="nil"/>
              <w:right w:val="nil"/>
            </w:tcBorders>
          </w:tcPr>
          <w:p w14:paraId="7D26E50B"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582DC344"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6EA8F3AC"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52.25</w:t>
            </w:r>
          </w:p>
          <w:p w14:paraId="629903DF"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7</w:t>
            </w:r>
          </w:p>
          <w:p w14:paraId="23365B8E"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40.75</w:t>
            </w:r>
          </w:p>
          <w:p w14:paraId="77630C62"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2DDEF57A"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54.50</w:t>
            </w:r>
          </w:p>
          <w:p w14:paraId="5D7C161F"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5.25</w:t>
            </w:r>
          </w:p>
          <w:p w14:paraId="7C698411"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40.25</w:t>
            </w:r>
          </w:p>
        </w:tc>
      </w:tr>
      <w:tr w:rsidR="00B107AA" w:rsidRPr="00B107AA" w14:paraId="44BEF2E7" w14:textId="77777777" w:rsidTr="0091446D">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hideMark/>
          </w:tcPr>
          <w:p w14:paraId="4DFE7032" w14:textId="77777777" w:rsidR="00B107AA" w:rsidRPr="00B107AA" w:rsidRDefault="00B107AA" w:rsidP="00B107AA">
            <w:pPr>
              <w:rPr>
                <w:lang w:val="id-ID" w:bidi="fa-IR"/>
              </w:rPr>
            </w:pPr>
            <w:r w:rsidRPr="00B107AA">
              <w:rPr>
                <w:lang w:val="id-ID" w:bidi="fa-IR"/>
              </w:rPr>
              <w:t>Region of Origin</w:t>
            </w:r>
          </w:p>
          <w:p w14:paraId="3522FFE9" w14:textId="77777777" w:rsidR="00B107AA" w:rsidRPr="0091446D" w:rsidRDefault="00B107AA" w:rsidP="0091446D">
            <w:pPr>
              <w:ind w:left="720" w:hanging="196"/>
              <w:rPr>
                <w:b w:val="0"/>
                <w:bCs w:val="0"/>
                <w:lang w:val="id-ID" w:bidi="fa-IR"/>
              </w:rPr>
            </w:pPr>
            <w:r w:rsidRPr="0091446D">
              <w:rPr>
                <w:b w:val="0"/>
                <w:bCs w:val="0"/>
                <w:lang w:bidi="fa-IR"/>
              </w:rPr>
              <w:t>1. Palembang City</w:t>
            </w:r>
            <w:r w:rsidRPr="0091446D">
              <w:rPr>
                <w:b w:val="0"/>
                <w:bCs w:val="0"/>
                <w:lang w:val="id-ID" w:bidi="fa-IR"/>
              </w:rPr>
              <w:t xml:space="preserve"> </w:t>
            </w:r>
          </w:p>
          <w:p w14:paraId="1AC06E01" w14:textId="77777777" w:rsidR="00B107AA" w:rsidRPr="0091446D" w:rsidRDefault="00B107AA" w:rsidP="0091446D">
            <w:pPr>
              <w:ind w:left="720" w:hanging="196"/>
              <w:rPr>
                <w:b w:val="0"/>
                <w:bCs w:val="0"/>
                <w:lang w:val="id-ID" w:bidi="fa-IR"/>
              </w:rPr>
            </w:pPr>
            <w:r w:rsidRPr="0091446D">
              <w:rPr>
                <w:b w:val="0"/>
                <w:bCs w:val="0"/>
                <w:lang w:bidi="fa-IR"/>
              </w:rPr>
              <w:t>2. Other areas in South Sumatra</w:t>
            </w:r>
            <w:r w:rsidRPr="0091446D">
              <w:rPr>
                <w:b w:val="0"/>
                <w:bCs w:val="0"/>
                <w:lang w:val="id-ID" w:bidi="fa-IR"/>
              </w:rPr>
              <w:t xml:space="preserve"> </w:t>
            </w:r>
          </w:p>
          <w:p w14:paraId="6348E677" w14:textId="77777777" w:rsidR="00B107AA" w:rsidRPr="00B107AA" w:rsidRDefault="00B107AA" w:rsidP="0091446D">
            <w:pPr>
              <w:ind w:left="720" w:hanging="196"/>
              <w:rPr>
                <w:lang w:val="id-ID" w:bidi="fa-IR"/>
              </w:rPr>
            </w:pPr>
            <w:r w:rsidRPr="0091446D">
              <w:rPr>
                <w:b w:val="0"/>
                <w:bCs w:val="0"/>
                <w:lang w:bidi="fa-IR"/>
              </w:rPr>
              <w:t>3. Outside South Sumatra</w:t>
            </w:r>
            <w:r w:rsidRPr="0091446D">
              <w:rPr>
                <w:b w:val="0"/>
                <w:bCs w:val="0"/>
                <w:lang w:val="id-ID" w:bidi="fa-IR"/>
              </w:rPr>
              <w:t xml:space="preserve"> </w:t>
            </w:r>
          </w:p>
        </w:tc>
        <w:tc>
          <w:tcPr>
            <w:tcW w:w="1456" w:type="dxa"/>
            <w:tcBorders>
              <w:top w:val="nil"/>
              <w:left w:val="nil"/>
              <w:bottom w:val="nil"/>
              <w:right w:val="nil"/>
            </w:tcBorders>
          </w:tcPr>
          <w:p w14:paraId="7EBE55B8"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p>
          <w:p w14:paraId="66EB62A9"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167</w:t>
            </w:r>
          </w:p>
          <w:p w14:paraId="6F34E01B"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131</w:t>
            </w:r>
          </w:p>
          <w:p w14:paraId="5A866F88"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102</w:t>
            </w:r>
          </w:p>
        </w:tc>
        <w:tc>
          <w:tcPr>
            <w:tcW w:w="1559" w:type="dxa"/>
            <w:tcBorders>
              <w:top w:val="nil"/>
              <w:left w:val="nil"/>
              <w:bottom w:val="nil"/>
              <w:right w:val="nil"/>
            </w:tcBorders>
          </w:tcPr>
          <w:p w14:paraId="72719AD5"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p>
          <w:p w14:paraId="0B4DC2D6"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41.75</w:t>
            </w:r>
          </w:p>
          <w:p w14:paraId="41383D1F"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32.75</w:t>
            </w:r>
          </w:p>
          <w:p w14:paraId="258D9CA3"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25.50</w:t>
            </w:r>
          </w:p>
        </w:tc>
      </w:tr>
      <w:tr w:rsidR="00B107AA" w:rsidRPr="00B107AA" w14:paraId="7A5BCC2B" w14:textId="77777777" w:rsidTr="00914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left w:val="nil"/>
              <w:right w:val="nil"/>
            </w:tcBorders>
            <w:hideMark/>
          </w:tcPr>
          <w:p w14:paraId="6C797204" w14:textId="77777777" w:rsidR="00B107AA" w:rsidRPr="00B107AA" w:rsidRDefault="00B107AA" w:rsidP="00B107AA">
            <w:pPr>
              <w:rPr>
                <w:lang w:val="id-ID" w:bidi="fa-IR"/>
              </w:rPr>
            </w:pPr>
            <w:r w:rsidRPr="00B107AA">
              <w:rPr>
                <w:lang w:bidi="fa-IR"/>
              </w:rPr>
              <w:t>Distance from Campus</w:t>
            </w:r>
          </w:p>
          <w:p w14:paraId="0A17E517" w14:textId="6D9E869D" w:rsidR="00B107AA" w:rsidRPr="0091446D" w:rsidRDefault="00B107AA" w:rsidP="0091446D">
            <w:pPr>
              <w:ind w:left="720" w:hanging="196"/>
              <w:rPr>
                <w:b w:val="0"/>
                <w:bCs w:val="0"/>
                <w:lang w:val="id-ID" w:bidi="fa-IR"/>
              </w:rPr>
            </w:pPr>
            <w:r w:rsidRPr="0091446D">
              <w:rPr>
                <w:b w:val="0"/>
                <w:bCs w:val="0"/>
                <w:lang w:val="id-ID" w:bidi="fa-IR"/>
              </w:rPr>
              <w:t>1. &lt;5 km</w:t>
            </w:r>
          </w:p>
          <w:p w14:paraId="51BC4A8B" w14:textId="226A7B00" w:rsidR="00B107AA" w:rsidRPr="0091446D" w:rsidRDefault="00B107AA" w:rsidP="0091446D">
            <w:pPr>
              <w:ind w:left="720" w:hanging="196"/>
              <w:rPr>
                <w:b w:val="0"/>
                <w:bCs w:val="0"/>
                <w:lang w:val="id-ID" w:bidi="fa-IR"/>
              </w:rPr>
            </w:pPr>
            <w:r w:rsidRPr="0091446D">
              <w:rPr>
                <w:b w:val="0"/>
                <w:bCs w:val="0"/>
                <w:lang w:val="id-ID" w:bidi="fa-IR"/>
              </w:rPr>
              <w:t>2. 5–10 km</w:t>
            </w:r>
          </w:p>
          <w:p w14:paraId="3F849043" w14:textId="71035630" w:rsidR="00B107AA" w:rsidRPr="0091446D" w:rsidRDefault="00B107AA" w:rsidP="0091446D">
            <w:pPr>
              <w:ind w:left="720" w:hanging="196"/>
              <w:rPr>
                <w:b w:val="0"/>
                <w:bCs w:val="0"/>
                <w:lang w:val="id-ID" w:bidi="fa-IR"/>
              </w:rPr>
            </w:pPr>
            <w:r w:rsidRPr="0091446D">
              <w:rPr>
                <w:b w:val="0"/>
                <w:bCs w:val="0"/>
                <w:lang w:val="id-ID" w:bidi="fa-IR"/>
              </w:rPr>
              <w:t>3. 10–20 km</w:t>
            </w:r>
          </w:p>
          <w:p w14:paraId="5B9F250B" w14:textId="129CEAA1" w:rsidR="00B107AA" w:rsidRPr="0091446D" w:rsidRDefault="00B107AA" w:rsidP="0091446D">
            <w:pPr>
              <w:ind w:left="720" w:hanging="196"/>
              <w:rPr>
                <w:b w:val="0"/>
                <w:bCs w:val="0"/>
                <w:lang w:val="id-ID" w:bidi="fa-IR"/>
              </w:rPr>
            </w:pPr>
            <w:r w:rsidRPr="0091446D">
              <w:rPr>
                <w:b w:val="0"/>
                <w:bCs w:val="0"/>
                <w:lang w:val="id-ID" w:bidi="fa-IR"/>
              </w:rPr>
              <w:t>4. 20–30 km</w:t>
            </w:r>
          </w:p>
          <w:p w14:paraId="035CF483" w14:textId="759F2FD7" w:rsidR="00B107AA" w:rsidRPr="00B107AA" w:rsidRDefault="00B107AA" w:rsidP="0091446D">
            <w:pPr>
              <w:ind w:left="720" w:hanging="196"/>
              <w:rPr>
                <w:lang w:val="id-ID" w:bidi="fa-IR"/>
              </w:rPr>
            </w:pPr>
            <w:r w:rsidRPr="0091446D">
              <w:rPr>
                <w:b w:val="0"/>
                <w:bCs w:val="0"/>
                <w:lang w:val="id-ID" w:bidi="fa-IR"/>
              </w:rPr>
              <w:t>5. &gt;30 km</w:t>
            </w:r>
          </w:p>
        </w:tc>
        <w:tc>
          <w:tcPr>
            <w:tcW w:w="1456" w:type="dxa"/>
            <w:tcBorders>
              <w:left w:val="nil"/>
              <w:right w:val="nil"/>
            </w:tcBorders>
          </w:tcPr>
          <w:p w14:paraId="201CED14"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10BFE78B"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172</w:t>
            </w:r>
          </w:p>
          <w:p w14:paraId="2D2279B8"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50</w:t>
            </w:r>
          </w:p>
          <w:p w14:paraId="1EA4407E"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18</w:t>
            </w:r>
          </w:p>
          <w:p w14:paraId="1E4AE18A"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28</w:t>
            </w:r>
          </w:p>
          <w:p w14:paraId="39BB34B7"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132</w:t>
            </w:r>
          </w:p>
        </w:tc>
        <w:tc>
          <w:tcPr>
            <w:tcW w:w="1559" w:type="dxa"/>
            <w:tcBorders>
              <w:left w:val="nil"/>
              <w:right w:val="nil"/>
            </w:tcBorders>
          </w:tcPr>
          <w:p w14:paraId="5DE21231"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44E0C71B"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43</w:t>
            </w:r>
          </w:p>
          <w:p w14:paraId="7E432076"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12.50</w:t>
            </w:r>
          </w:p>
          <w:p w14:paraId="70413DE9"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4.50</w:t>
            </w:r>
          </w:p>
          <w:p w14:paraId="11F0F4FB"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7</w:t>
            </w:r>
          </w:p>
          <w:p w14:paraId="63F2F2DC"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33</w:t>
            </w:r>
          </w:p>
        </w:tc>
      </w:tr>
      <w:tr w:rsidR="00B107AA" w:rsidRPr="00B107AA" w14:paraId="123B3088" w14:textId="77777777" w:rsidTr="0091446D">
        <w:tc>
          <w:tcPr>
            <w:cnfStyle w:val="001000000000" w:firstRow="0" w:lastRow="0" w:firstColumn="1" w:lastColumn="0" w:oddVBand="0" w:evenVBand="0" w:oddHBand="0" w:evenHBand="0" w:firstRowFirstColumn="0" w:firstRowLastColumn="0" w:lastRowFirstColumn="0" w:lastRowLastColumn="0"/>
            <w:tcW w:w="4500" w:type="dxa"/>
            <w:tcBorders>
              <w:top w:val="nil"/>
              <w:left w:val="nil"/>
              <w:bottom w:val="nil"/>
              <w:right w:val="nil"/>
            </w:tcBorders>
            <w:hideMark/>
          </w:tcPr>
          <w:p w14:paraId="2EB47D31" w14:textId="77777777" w:rsidR="00B107AA" w:rsidRPr="00B107AA" w:rsidRDefault="00B107AA" w:rsidP="00B107AA">
            <w:pPr>
              <w:rPr>
                <w:lang w:val="id-ID" w:bidi="fa-IR"/>
              </w:rPr>
            </w:pPr>
            <w:r w:rsidRPr="00B107AA">
              <w:rPr>
                <w:lang w:bidi="fa-IR"/>
              </w:rPr>
              <w:t>Living Arrangement</w:t>
            </w:r>
            <w:r w:rsidRPr="00B107AA">
              <w:rPr>
                <w:lang w:val="id-ID" w:bidi="fa-IR"/>
              </w:rPr>
              <w:t xml:space="preserve"> </w:t>
            </w:r>
          </w:p>
          <w:p w14:paraId="5D33861C" w14:textId="77777777" w:rsidR="00B107AA" w:rsidRPr="0091446D" w:rsidRDefault="00B107AA" w:rsidP="0091446D">
            <w:pPr>
              <w:ind w:left="720" w:hanging="196"/>
              <w:rPr>
                <w:b w:val="0"/>
                <w:bCs w:val="0"/>
                <w:lang w:val="id-ID" w:bidi="fa-IR"/>
              </w:rPr>
            </w:pPr>
            <w:r w:rsidRPr="0091446D">
              <w:rPr>
                <w:b w:val="0"/>
                <w:bCs w:val="0"/>
                <w:lang w:bidi="fa-IR"/>
              </w:rPr>
              <w:t>1. With parents</w:t>
            </w:r>
          </w:p>
          <w:p w14:paraId="1CACBAB0" w14:textId="77777777" w:rsidR="00B107AA" w:rsidRPr="0091446D" w:rsidRDefault="00B107AA" w:rsidP="0091446D">
            <w:pPr>
              <w:ind w:left="720" w:hanging="196"/>
              <w:rPr>
                <w:b w:val="0"/>
                <w:bCs w:val="0"/>
                <w:lang w:val="id-ID" w:bidi="fa-IR"/>
              </w:rPr>
            </w:pPr>
            <w:r w:rsidRPr="0091446D">
              <w:rPr>
                <w:b w:val="0"/>
                <w:bCs w:val="0"/>
                <w:lang w:bidi="fa-IR"/>
              </w:rPr>
              <w:t>2. Independently in rented accommodation</w:t>
            </w:r>
          </w:p>
          <w:p w14:paraId="2982B599" w14:textId="77777777" w:rsidR="00B107AA" w:rsidRPr="00B107AA" w:rsidRDefault="00B107AA" w:rsidP="0091446D">
            <w:pPr>
              <w:ind w:left="720" w:hanging="196"/>
              <w:rPr>
                <w:lang w:val="id-ID" w:bidi="fa-IR"/>
              </w:rPr>
            </w:pPr>
            <w:r w:rsidRPr="0091446D">
              <w:rPr>
                <w:b w:val="0"/>
                <w:bCs w:val="0"/>
                <w:lang w:bidi="fa-IR"/>
              </w:rPr>
              <w:t>3. With relatives or friends</w:t>
            </w:r>
          </w:p>
        </w:tc>
        <w:tc>
          <w:tcPr>
            <w:tcW w:w="1456" w:type="dxa"/>
            <w:tcBorders>
              <w:top w:val="nil"/>
              <w:left w:val="nil"/>
              <w:bottom w:val="nil"/>
              <w:right w:val="nil"/>
            </w:tcBorders>
          </w:tcPr>
          <w:p w14:paraId="167D8940"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p>
          <w:p w14:paraId="6907077B"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157</w:t>
            </w:r>
          </w:p>
          <w:p w14:paraId="4DB6F278"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214</w:t>
            </w:r>
          </w:p>
          <w:p w14:paraId="7E80B7F0"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29</w:t>
            </w:r>
          </w:p>
        </w:tc>
        <w:tc>
          <w:tcPr>
            <w:tcW w:w="1559" w:type="dxa"/>
            <w:tcBorders>
              <w:top w:val="nil"/>
              <w:left w:val="nil"/>
              <w:bottom w:val="nil"/>
              <w:right w:val="nil"/>
            </w:tcBorders>
          </w:tcPr>
          <w:p w14:paraId="2B1D63EE"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p>
          <w:p w14:paraId="218F711D"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39.25</w:t>
            </w:r>
          </w:p>
          <w:p w14:paraId="16F31C3C"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53.50</w:t>
            </w:r>
          </w:p>
          <w:p w14:paraId="078EF434"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id-ID" w:bidi="fa-IR"/>
              </w:rPr>
            </w:pPr>
            <w:r w:rsidRPr="00B107AA">
              <w:rPr>
                <w:lang w:val="id-ID" w:bidi="fa-IR"/>
              </w:rPr>
              <w:t>7.25</w:t>
            </w:r>
          </w:p>
        </w:tc>
      </w:tr>
      <w:tr w:rsidR="00B107AA" w:rsidRPr="00B107AA" w14:paraId="3FFA8B74" w14:textId="77777777" w:rsidTr="00914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left w:val="nil"/>
              <w:right w:val="nil"/>
            </w:tcBorders>
            <w:hideMark/>
          </w:tcPr>
          <w:p w14:paraId="03C18962" w14:textId="77777777" w:rsidR="00B107AA" w:rsidRPr="00B107AA" w:rsidRDefault="00B107AA" w:rsidP="00B107AA">
            <w:pPr>
              <w:rPr>
                <w:i/>
                <w:iCs/>
                <w:lang w:val="id-ID" w:bidi="fa-IR"/>
              </w:rPr>
            </w:pPr>
            <w:r w:rsidRPr="00B107AA">
              <w:rPr>
                <w:i/>
                <w:iCs/>
                <w:lang w:val="id-ID" w:bidi="fa-IR"/>
              </w:rPr>
              <w:t>College Belongingness (mean, standard deviation)</w:t>
            </w:r>
          </w:p>
          <w:p w14:paraId="32C01C04" w14:textId="77777777" w:rsidR="00B107AA" w:rsidRPr="0091446D" w:rsidRDefault="00B107AA" w:rsidP="0091446D">
            <w:pPr>
              <w:ind w:left="720" w:hanging="196"/>
              <w:rPr>
                <w:b w:val="0"/>
                <w:bCs w:val="0"/>
                <w:i/>
                <w:iCs/>
                <w:lang w:val="id-ID" w:bidi="fa-IR"/>
              </w:rPr>
            </w:pPr>
            <w:r w:rsidRPr="0091446D">
              <w:rPr>
                <w:b w:val="0"/>
                <w:bCs w:val="0"/>
                <w:i/>
                <w:iCs/>
                <w:lang w:val="id-ID" w:bidi="fa-IR"/>
              </w:rPr>
              <w:t>Social Inclusion</w:t>
            </w:r>
          </w:p>
          <w:p w14:paraId="0EFF8DC3" w14:textId="1CD68857" w:rsidR="00B107AA" w:rsidRPr="00B107AA" w:rsidRDefault="00B107AA" w:rsidP="0091446D">
            <w:pPr>
              <w:ind w:left="720" w:hanging="196"/>
              <w:rPr>
                <w:lang w:val="id-ID" w:bidi="fa-IR"/>
              </w:rPr>
            </w:pPr>
            <w:r w:rsidRPr="0091446D">
              <w:rPr>
                <w:b w:val="0"/>
                <w:bCs w:val="0"/>
                <w:i/>
                <w:iCs/>
                <w:lang w:val="id-ID" w:bidi="fa-IR"/>
              </w:rPr>
              <w:t>Social Exclusion</w:t>
            </w:r>
          </w:p>
        </w:tc>
        <w:tc>
          <w:tcPr>
            <w:tcW w:w="3015" w:type="dxa"/>
            <w:gridSpan w:val="2"/>
            <w:tcBorders>
              <w:left w:val="nil"/>
              <w:right w:val="nil"/>
            </w:tcBorders>
          </w:tcPr>
          <w:p w14:paraId="7CEE302D"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p>
          <w:p w14:paraId="58BB3358"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w:t>
            </w:r>
            <w:r w:rsidRPr="00B107AA">
              <w:rPr>
                <w:i/>
                <w:iCs/>
                <w:lang w:val="id-ID" w:bidi="fa-IR"/>
              </w:rPr>
              <w:t>M</w:t>
            </w:r>
            <w:r w:rsidRPr="00B107AA">
              <w:rPr>
                <w:lang w:val="id-ID" w:bidi="fa-IR"/>
              </w:rPr>
              <w:t xml:space="preserve">=15.242, </w:t>
            </w:r>
            <w:r w:rsidRPr="00B107AA">
              <w:rPr>
                <w:i/>
                <w:iCs/>
                <w:lang w:val="id-ID" w:bidi="fa-IR"/>
              </w:rPr>
              <w:t>SD</w:t>
            </w:r>
            <w:r w:rsidRPr="00B107AA">
              <w:rPr>
                <w:lang w:val="id-ID" w:bidi="fa-IR"/>
              </w:rPr>
              <w:t>=1.843)</w:t>
            </w:r>
          </w:p>
          <w:p w14:paraId="20ADA0B2"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id-ID" w:bidi="fa-IR"/>
              </w:rPr>
            </w:pPr>
            <w:r w:rsidRPr="00B107AA">
              <w:rPr>
                <w:lang w:val="id-ID" w:bidi="fa-IR"/>
              </w:rPr>
              <w:t>(</w:t>
            </w:r>
            <w:r w:rsidRPr="00B107AA">
              <w:rPr>
                <w:i/>
                <w:iCs/>
                <w:lang w:val="id-ID" w:bidi="fa-IR"/>
              </w:rPr>
              <w:t>M</w:t>
            </w:r>
            <w:r w:rsidRPr="00B107AA">
              <w:rPr>
                <w:lang w:val="id-ID" w:bidi="fa-IR"/>
              </w:rPr>
              <w:t xml:space="preserve">=9.010, </w:t>
            </w:r>
            <w:r w:rsidRPr="00B107AA">
              <w:rPr>
                <w:i/>
                <w:iCs/>
                <w:lang w:val="id-ID" w:bidi="fa-IR"/>
              </w:rPr>
              <w:t>SD</w:t>
            </w:r>
            <w:r w:rsidRPr="00B107AA">
              <w:rPr>
                <w:lang w:val="id-ID" w:bidi="fa-IR"/>
              </w:rPr>
              <w:t>=2.348)</w:t>
            </w:r>
          </w:p>
        </w:tc>
      </w:tr>
    </w:tbl>
    <w:p w14:paraId="7207C828" w14:textId="73C3C1B2" w:rsidR="00B2636E" w:rsidRDefault="00B2636E">
      <w:pPr>
        <w:rPr>
          <w:b/>
          <w:bCs/>
          <w:i/>
          <w:iCs/>
          <w:lang w:val="en-ID" w:bidi="fa-IR"/>
        </w:rPr>
      </w:pPr>
    </w:p>
    <w:p w14:paraId="04C470D0" w14:textId="100384BC" w:rsidR="00B107AA" w:rsidRPr="00096ACC" w:rsidRDefault="00B107AA" w:rsidP="00B107AA">
      <w:pPr>
        <w:rPr>
          <w:b/>
          <w:bCs/>
          <w:i/>
          <w:iCs/>
          <w:lang w:val="en-ID" w:bidi="fa-IR"/>
        </w:rPr>
      </w:pPr>
      <w:r w:rsidRPr="00B107AA">
        <w:rPr>
          <w:b/>
          <w:bCs/>
          <w:i/>
          <w:iCs/>
          <w:lang w:val="en-ID" w:bidi="fa-IR"/>
        </w:rPr>
        <w:t xml:space="preserve">CBQ’s </w:t>
      </w:r>
      <w:r w:rsidR="004F01AF">
        <w:rPr>
          <w:b/>
          <w:bCs/>
          <w:i/>
          <w:iCs/>
          <w:lang w:val="en-ID" w:bidi="fa-IR"/>
        </w:rPr>
        <w:t>c</w:t>
      </w:r>
      <w:r w:rsidRPr="00B107AA">
        <w:rPr>
          <w:b/>
          <w:bCs/>
          <w:i/>
          <w:iCs/>
          <w:lang w:val="en-ID" w:bidi="fa-IR"/>
        </w:rPr>
        <w:t xml:space="preserve">ontent </w:t>
      </w:r>
      <w:r w:rsidR="004F01AF">
        <w:rPr>
          <w:b/>
          <w:bCs/>
          <w:i/>
          <w:iCs/>
          <w:lang w:val="en-ID" w:bidi="fa-IR"/>
        </w:rPr>
        <w:t>v</w:t>
      </w:r>
      <w:r w:rsidRPr="00B107AA">
        <w:rPr>
          <w:b/>
          <w:bCs/>
          <w:i/>
          <w:iCs/>
          <w:lang w:val="en-ID" w:bidi="fa-IR"/>
        </w:rPr>
        <w:t>alidity</w:t>
      </w:r>
    </w:p>
    <w:p w14:paraId="4F582315" w14:textId="0F498B8A" w:rsidR="00B107AA" w:rsidRPr="00B107AA" w:rsidRDefault="00B107AA" w:rsidP="00096ACC">
      <w:pPr>
        <w:pStyle w:val="JANZSSABodycopy"/>
        <w:spacing w:after="240"/>
        <w:rPr>
          <w:lang w:val="en-ID"/>
        </w:rPr>
      </w:pPr>
      <w:r w:rsidRPr="00B107AA">
        <w:rPr>
          <w:lang w:val="en-ID"/>
        </w:rPr>
        <w:t>The content validity test was conducted by 10 experts using Aiken’s V index. The results showed that all items met the content validity criteria, with Aiken's V values exceeding 0.78 and ranging from 0.85 to 0.95. Table 5 presents the detailed results of the content validity test based on Aiken's V index. Furthermore, the readability analysis conducted on 60 students indicated that all items were easily understood.</w:t>
      </w:r>
    </w:p>
    <w:p w14:paraId="0346CBC0" w14:textId="5FF77FF1" w:rsidR="00B107AA" w:rsidRPr="00B107AA" w:rsidRDefault="00B107AA" w:rsidP="00096ACC">
      <w:pPr>
        <w:pStyle w:val="JANZSSAFigureTableNumber"/>
        <w:rPr>
          <w:lang w:val="en-US"/>
        </w:rPr>
      </w:pPr>
      <w:r w:rsidRPr="00B107AA">
        <w:rPr>
          <w:lang w:val="en-US"/>
        </w:rPr>
        <w:t xml:space="preserve">Table 5 </w:t>
      </w:r>
    </w:p>
    <w:p w14:paraId="4E034689" w14:textId="77777777" w:rsidR="00B107AA" w:rsidRPr="00B107AA" w:rsidRDefault="00B107AA" w:rsidP="00096ACC">
      <w:pPr>
        <w:pStyle w:val="JANZSSATableLabel"/>
        <w:rPr>
          <w:lang w:val="en-US"/>
        </w:rPr>
      </w:pPr>
      <w:r w:rsidRPr="00B107AA">
        <w:rPr>
          <w:lang w:val="en-US"/>
        </w:rPr>
        <w:t xml:space="preserve">Content Validity </w:t>
      </w:r>
    </w:p>
    <w:tbl>
      <w:tblPr>
        <w:tblStyle w:val="PlainTable2"/>
        <w:tblW w:w="2694" w:type="dxa"/>
        <w:tblLook w:val="04A0" w:firstRow="1" w:lastRow="0" w:firstColumn="1" w:lastColumn="0" w:noHBand="0" w:noVBand="1"/>
      </w:tblPr>
      <w:tblGrid>
        <w:gridCol w:w="1418"/>
        <w:gridCol w:w="1276"/>
      </w:tblGrid>
      <w:tr w:rsidR="00B107AA" w:rsidRPr="00B107AA" w14:paraId="695AF3D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themeColor="text1" w:themeTint="80"/>
              <w:left w:val="nil"/>
              <w:right w:val="nil"/>
            </w:tcBorders>
            <w:hideMark/>
          </w:tcPr>
          <w:p w14:paraId="6EB5E20A" w14:textId="77777777" w:rsidR="00B107AA" w:rsidRPr="00B107AA" w:rsidRDefault="00B107AA" w:rsidP="00B107AA">
            <w:pPr>
              <w:rPr>
                <w:lang w:val="en-ID" w:bidi="fa-IR"/>
              </w:rPr>
            </w:pPr>
            <w:r w:rsidRPr="00B107AA">
              <w:rPr>
                <w:lang w:val="en-ID" w:bidi="fa-IR"/>
              </w:rPr>
              <w:t>Item number</w:t>
            </w:r>
          </w:p>
        </w:tc>
        <w:tc>
          <w:tcPr>
            <w:tcW w:w="1276" w:type="dxa"/>
            <w:tcBorders>
              <w:top w:val="single" w:sz="4" w:space="0" w:color="7F7F7F" w:themeColor="text1" w:themeTint="80"/>
              <w:left w:val="nil"/>
              <w:right w:val="nil"/>
            </w:tcBorders>
            <w:vAlign w:val="center"/>
            <w:hideMark/>
          </w:tcPr>
          <w:p w14:paraId="52AD9C88"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en-ID" w:bidi="fa-IR"/>
              </w:rPr>
            </w:pPr>
            <w:r w:rsidRPr="00B107AA">
              <w:rPr>
                <w:lang w:val="en-ID" w:bidi="fa-IR"/>
              </w:rPr>
              <w:t>Aiken’s V</w:t>
            </w:r>
          </w:p>
        </w:tc>
      </w:tr>
      <w:tr w:rsidR="00B107AA" w:rsidRPr="00B107AA" w14:paraId="745410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nil"/>
              <w:right w:val="nil"/>
            </w:tcBorders>
            <w:hideMark/>
          </w:tcPr>
          <w:p w14:paraId="614917D5" w14:textId="77777777" w:rsidR="00B107AA" w:rsidRPr="00B107AA" w:rsidRDefault="00B107AA" w:rsidP="00B107AA">
            <w:pPr>
              <w:rPr>
                <w:lang w:val="en-ID" w:bidi="fa-IR"/>
              </w:rPr>
            </w:pPr>
            <w:r w:rsidRPr="00B107AA">
              <w:rPr>
                <w:lang w:val="en-ID" w:bidi="fa-IR"/>
              </w:rPr>
              <w:t>1</w:t>
            </w:r>
          </w:p>
          <w:p w14:paraId="4C241DF8" w14:textId="77777777" w:rsidR="00B107AA" w:rsidRPr="00B107AA" w:rsidRDefault="00B107AA" w:rsidP="00B107AA">
            <w:pPr>
              <w:rPr>
                <w:lang w:val="en-ID" w:bidi="fa-IR"/>
              </w:rPr>
            </w:pPr>
            <w:r w:rsidRPr="00B107AA">
              <w:rPr>
                <w:lang w:val="en-ID" w:bidi="fa-IR"/>
              </w:rPr>
              <w:t>2</w:t>
            </w:r>
          </w:p>
          <w:p w14:paraId="209E99E6" w14:textId="77777777" w:rsidR="00B107AA" w:rsidRPr="00B107AA" w:rsidRDefault="00B107AA" w:rsidP="00B107AA">
            <w:pPr>
              <w:rPr>
                <w:lang w:val="en-ID" w:bidi="fa-IR"/>
              </w:rPr>
            </w:pPr>
            <w:r w:rsidRPr="00B107AA">
              <w:rPr>
                <w:lang w:val="en-ID" w:bidi="fa-IR"/>
              </w:rPr>
              <w:t>3</w:t>
            </w:r>
          </w:p>
          <w:p w14:paraId="7F82C81E" w14:textId="77777777" w:rsidR="00B107AA" w:rsidRPr="00B107AA" w:rsidRDefault="00B107AA" w:rsidP="00B107AA">
            <w:pPr>
              <w:rPr>
                <w:lang w:val="en-ID" w:bidi="fa-IR"/>
              </w:rPr>
            </w:pPr>
            <w:r w:rsidRPr="00B107AA">
              <w:rPr>
                <w:lang w:val="en-ID" w:bidi="fa-IR"/>
              </w:rPr>
              <w:t>4</w:t>
            </w:r>
          </w:p>
          <w:p w14:paraId="5744369C" w14:textId="77777777" w:rsidR="00B107AA" w:rsidRPr="00B107AA" w:rsidRDefault="00B107AA" w:rsidP="00B107AA">
            <w:pPr>
              <w:rPr>
                <w:lang w:val="en-ID" w:bidi="fa-IR"/>
              </w:rPr>
            </w:pPr>
            <w:r w:rsidRPr="00B107AA">
              <w:rPr>
                <w:lang w:val="en-ID" w:bidi="fa-IR"/>
              </w:rPr>
              <w:t>5</w:t>
            </w:r>
          </w:p>
          <w:p w14:paraId="6EEFE77E" w14:textId="77777777" w:rsidR="00B107AA" w:rsidRPr="00B107AA" w:rsidRDefault="00B107AA" w:rsidP="00B107AA">
            <w:pPr>
              <w:rPr>
                <w:lang w:val="en-ID" w:bidi="fa-IR"/>
              </w:rPr>
            </w:pPr>
            <w:r w:rsidRPr="00B107AA">
              <w:rPr>
                <w:lang w:val="en-ID" w:bidi="fa-IR"/>
              </w:rPr>
              <w:t>6</w:t>
            </w:r>
          </w:p>
          <w:p w14:paraId="0490D167" w14:textId="77777777" w:rsidR="00B107AA" w:rsidRPr="00B107AA" w:rsidRDefault="00B107AA" w:rsidP="00B107AA">
            <w:pPr>
              <w:rPr>
                <w:lang w:val="en-ID" w:bidi="fa-IR"/>
              </w:rPr>
            </w:pPr>
            <w:r w:rsidRPr="00B107AA">
              <w:rPr>
                <w:lang w:val="en-ID" w:bidi="fa-IR"/>
              </w:rPr>
              <w:t>7</w:t>
            </w:r>
          </w:p>
          <w:p w14:paraId="42BDFD03" w14:textId="77777777" w:rsidR="00B107AA" w:rsidRPr="00B107AA" w:rsidRDefault="00B107AA" w:rsidP="00B107AA">
            <w:pPr>
              <w:rPr>
                <w:lang w:val="en-ID" w:bidi="fa-IR"/>
              </w:rPr>
            </w:pPr>
            <w:r w:rsidRPr="00B107AA">
              <w:rPr>
                <w:lang w:val="en-ID" w:bidi="fa-IR"/>
              </w:rPr>
              <w:t>8</w:t>
            </w:r>
          </w:p>
          <w:p w14:paraId="0DA03675" w14:textId="77777777" w:rsidR="00B107AA" w:rsidRPr="00B107AA" w:rsidRDefault="00B107AA" w:rsidP="00B107AA">
            <w:pPr>
              <w:rPr>
                <w:lang w:val="en-ID" w:bidi="fa-IR"/>
              </w:rPr>
            </w:pPr>
            <w:r w:rsidRPr="00B107AA">
              <w:rPr>
                <w:lang w:val="en-ID" w:bidi="fa-IR"/>
              </w:rPr>
              <w:t>9</w:t>
            </w:r>
          </w:p>
          <w:p w14:paraId="5655DC3A" w14:textId="77777777" w:rsidR="00B107AA" w:rsidRPr="00B107AA" w:rsidRDefault="00B107AA" w:rsidP="00B107AA">
            <w:pPr>
              <w:rPr>
                <w:lang w:val="en-ID" w:bidi="fa-IR"/>
              </w:rPr>
            </w:pPr>
            <w:r w:rsidRPr="00B107AA">
              <w:rPr>
                <w:lang w:val="en-ID" w:bidi="fa-IR"/>
              </w:rPr>
              <w:t>10</w:t>
            </w:r>
          </w:p>
        </w:tc>
        <w:tc>
          <w:tcPr>
            <w:tcW w:w="1276" w:type="dxa"/>
            <w:tcBorders>
              <w:left w:val="nil"/>
              <w:right w:val="nil"/>
            </w:tcBorders>
            <w:hideMark/>
          </w:tcPr>
          <w:p w14:paraId="36EE7FFA"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0.95</w:t>
            </w:r>
          </w:p>
          <w:p w14:paraId="76B06AAA"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0.9</w:t>
            </w:r>
          </w:p>
          <w:p w14:paraId="68F8FB95"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0.925</w:t>
            </w:r>
          </w:p>
          <w:p w14:paraId="32D87ED6"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0.925</w:t>
            </w:r>
          </w:p>
          <w:p w14:paraId="3686AD50"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0.95</w:t>
            </w:r>
          </w:p>
          <w:p w14:paraId="67B39A2C"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0.85</w:t>
            </w:r>
          </w:p>
          <w:p w14:paraId="702E6817"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0.95</w:t>
            </w:r>
          </w:p>
          <w:p w14:paraId="3F5C3FF4"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0.85</w:t>
            </w:r>
          </w:p>
          <w:p w14:paraId="510E4862"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0.95</w:t>
            </w:r>
          </w:p>
          <w:p w14:paraId="2BFBC227"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0.9</w:t>
            </w:r>
          </w:p>
        </w:tc>
      </w:tr>
    </w:tbl>
    <w:p w14:paraId="4054D806" w14:textId="77777777" w:rsidR="00B107AA" w:rsidRPr="00B107AA" w:rsidRDefault="00B107AA" w:rsidP="00B107AA">
      <w:pPr>
        <w:rPr>
          <w:b/>
          <w:bCs/>
          <w:i/>
          <w:iCs/>
          <w:lang w:val="en-ID" w:bidi="fa-IR"/>
        </w:rPr>
      </w:pPr>
    </w:p>
    <w:p w14:paraId="48907EC1" w14:textId="0DA65A77" w:rsidR="00B107AA" w:rsidRPr="00F324F7" w:rsidRDefault="00B107AA" w:rsidP="00F324F7">
      <w:pPr>
        <w:pStyle w:val="JANZSSAHeading2"/>
        <w:rPr>
          <w:lang w:bidi="fa-IR"/>
        </w:rPr>
      </w:pPr>
      <w:r w:rsidRPr="00B107AA">
        <w:rPr>
          <w:lang w:bidi="fa-IR"/>
        </w:rPr>
        <w:lastRenderedPageBreak/>
        <w:t xml:space="preserve">CBQ’s </w:t>
      </w:r>
      <w:r w:rsidR="004F01AF">
        <w:rPr>
          <w:lang w:bidi="fa-IR"/>
        </w:rPr>
        <w:t>c</w:t>
      </w:r>
      <w:r w:rsidRPr="00B107AA">
        <w:rPr>
          <w:lang w:bidi="fa-IR"/>
        </w:rPr>
        <w:t xml:space="preserve">onstruct </w:t>
      </w:r>
      <w:r w:rsidR="004F01AF">
        <w:rPr>
          <w:lang w:bidi="fa-IR"/>
        </w:rPr>
        <w:t>v</w:t>
      </w:r>
      <w:r w:rsidRPr="00B107AA">
        <w:rPr>
          <w:lang w:bidi="fa-IR"/>
        </w:rPr>
        <w:t>alidity</w:t>
      </w:r>
    </w:p>
    <w:p w14:paraId="744B8E42" w14:textId="7774B58B" w:rsidR="00B2636E" w:rsidRDefault="00B107AA" w:rsidP="003D1605">
      <w:pPr>
        <w:pStyle w:val="JANZSSABodycopy"/>
        <w:spacing w:after="240"/>
        <w:rPr>
          <w:bCs w:val="0"/>
          <w:iCs w:val="0"/>
        </w:rPr>
      </w:pPr>
      <w:r w:rsidRPr="00B107AA">
        <w:rPr>
          <w:lang w:val="en-ID"/>
        </w:rPr>
        <w:t xml:space="preserve">CFA was conducted on the CBQ instrument, yielding a chi-square (χ²) value of 112.420 with </w:t>
      </w:r>
      <w:r w:rsidR="00185A70" w:rsidRPr="004B1A66">
        <w:rPr>
          <w:i/>
          <w:lang w:val="en-ID"/>
        </w:rPr>
        <w:t>p</w:t>
      </w:r>
      <w:r w:rsidR="00185A70">
        <w:rPr>
          <w:lang w:val="en-ID"/>
        </w:rPr>
        <w:t xml:space="preserve">&lt;0.001. Although the chi-square test was significant, this result is common in large samples and should be interpreted alongside other goodness-of-fit indices. </w:t>
      </w:r>
      <w:r w:rsidRPr="00B107AA">
        <w:rPr>
          <w:lang w:val="en-ID"/>
        </w:rPr>
        <w:t>A nonsignificant chi-square value (</w:t>
      </w:r>
      <w:r w:rsidRPr="00B107AA">
        <w:rPr>
          <w:i/>
          <w:lang w:val="en-ID"/>
        </w:rPr>
        <w:t>p</w:t>
      </w:r>
      <w:r w:rsidRPr="00B107AA">
        <w:rPr>
          <w:lang w:val="en-ID"/>
        </w:rPr>
        <w:t xml:space="preserve">&gt;0.05) is preferred in structural modeling, suggesting no significant difference between the sample and model covariance matrix. </w:t>
      </w:r>
      <w:proofErr w:type="spellStart"/>
      <w:r w:rsidRPr="00B107AA">
        <w:rPr>
          <w:lang w:val="en-ID"/>
        </w:rPr>
        <w:t>Jöreskog</w:t>
      </w:r>
      <w:proofErr w:type="spellEnd"/>
      <w:r w:rsidRPr="00B107AA">
        <w:rPr>
          <w:lang w:val="en-ID"/>
        </w:rPr>
        <w:t xml:space="preserve"> and </w:t>
      </w:r>
      <w:proofErr w:type="spellStart"/>
      <w:r w:rsidRPr="00B107AA">
        <w:rPr>
          <w:lang w:val="en-ID"/>
        </w:rPr>
        <w:t>Sörbom</w:t>
      </w:r>
      <w:proofErr w:type="spellEnd"/>
      <w:r w:rsidRPr="00B107AA">
        <w:rPr>
          <w:lang w:val="en-ID"/>
        </w:rPr>
        <w:t xml:space="preserve"> (1993) noted that a large sample size tends to cause the chi-square test to reject the model. Therefore, Kline (2016) recommends that model fit evaluation not only rely on the chi-square value but also consider other goodness-of-fit indices. The additional fit indices in this study indicate</w:t>
      </w:r>
      <w:r w:rsidR="0002585B">
        <w:rPr>
          <w:lang w:val="en-ID"/>
        </w:rPr>
        <w:t>d</w:t>
      </w:r>
      <w:r w:rsidRPr="00B107AA">
        <w:rPr>
          <w:lang w:val="en-ID"/>
        </w:rPr>
        <w:t xml:space="preserve"> an acceptable model fit, with RMSEA=0.076, CFI=0.936, TLI=0.915, and GFI=0.942. Standardi</w:t>
      </w:r>
      <w:r w:rsidR="00C843B8">
        <w:rPr>
          <w:lang w:val="en-ID"/>
        </w:rPr>
        <w:t>s</w:t>
      </w:r>
      <w:r w:rsidRPr="00B107AA">
        <w:rPr>
          <w:lang w:val="en-ID"/>
        </w:rPr>
        <w:t>ed factor loadings ranged from 0.466 to 0.850. Table 6 presents detailed results of the convergent validity analysis.</w:t>
      </w:r>
    </w:p>
    <w:p w14:paraId="0D41E169" w14:textId="34F426E7" w:rsidR="00B107AA" w:rsidRPr="00B107AA" w:rsidRDefault="00B107AA" w:rsidP="00F324F7">
      <w:pPr>
        <w:pStyle w:val="JANZSSAFigureTableNumber"/>
        <w:rPr>
          <w:lang w:val="en-ID"/>
        </w:rPr>
      </w:pPr>
      <w:r w:rsidRPr="00B107AA">
        <w:rPr>
          <w:lang w:val="en-ID"/>
        </w:rPr>
        <w:t xml:space="preserve">Table 6 </w:t>
      </w:r>
    </w:p>
    <w:p w14:paraId="33712EDF" w14:textId="77777777" w:rsidR="00B107AA" w:rsidRPr="00B107AA" w:rsidRDefault="00B107AA" w:rsidP="00F324F7">
      <w:pPr>
        <w:pStyle w:val="JANZSSATableLabel"/>
        <w:rPr>
          <w:lang w:val="en-ID"/>
        </w:rPr>
      </w:pPr>
      <w:r w:rsidRPr="00B107AA">
        <w:rPr>
          <w:lang w:val="en-ID"/>
        </w:rPr>
        <w:t>Factor Loadings of CBQ</w:t>
      </w:r>
    </w:p>
    <w:tbl>
      <w:tblPr>
        <w:tblStyle w:val="PlainTable2"/>
        <w:tblpPr w:leftFromText="180" w:rightFromText="180" w:vertAnchor="text" w:horzAnchor="margin" w:tblpY="148"/>
        <w:tblW w:w="6552" w:type="dxa"/>
        <w:tblLook w:val="04A0" w:firstRow="1" w:lastRow="0" w:firstColumn="1" w:lastColumn="0" w:noHBand="0" w:noVBand="1"/>
      </w:tblPr>
      <w:tblGrid>
        <w:gridCol w:w="1714"/>
        <w:gridCol w:w="1029"/>
        <w:gridCol w:w="943"/>
        <w:gridCol w:w="1672"/>
        <w:gridCol w:w="1194"/>
      </w:tblGrid>
      <w:tr w:rsidR="00B107AA" w:rsidRPr="00B107AA" w14:paraId="752B1867" w14:textId="77777777" w:rsidTr="00185A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4" w:type="dxa"/>
            <w:tcBorders>
              <w:top w:val="single" w:sz="4" w:space="0" w:color="7F7F7F" w:themeColor="text1" w:themeTint="80"/>
              <w:left w:val="nil"/>
              <w:right w:val="nil"/>
            </w:tcBorders>
            <w:vAlign w:val="center"/>
            <w:hideMark/>
          </w:tcPr>
          <w:p w14:paraId="181FDD8E" w14:textId="77777777" w:rsidR="00B107AA" w:rsidRPr="00B107AA" w:rsidRDefault="00B107AA" w:rsidP="00B107AA">
            <w:pPr>
              <w:rPr>
                <w:lang w:val="en-ID" w:bidi="fa-IR"/>
              </w:rPr>
            </w:pPr>
            <w:r w:rsidRPr="00B107AA">
              <w:rPr>
                <w:lang w:val="en-ID" w:bidi="fa-IR"/>
              </w:rPr>
              <w:t>Dimension</w:t>
            </w:r>
          </w:p>
        </w:tc>
        <w:tc>
          <w:tcPr>
            <w:tcW w:w="1029" w:type="dxa"/>
            <w:tcBorders>
              <w:top w:val="single" w:sz="4" w:space="0" w:color="7F7F7F" w:themeColor="text1" w:themeTint="80"/>
              <w:left w:val="nil"/>
              <w:right w:val="nil"/>
            </w:tcBorders>
            <w:vAlign w:val="center"/>
            <w:hideMark/>
          </w:tcPr>
          <w:p w14:paraId="19836170"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en-ID" w:bidi="fa-IR"/>
              </w:rPr>
            </w:pPr>
            <w:r w:rsidRPr="00B107AA">
              <w:rPr>
                <w:lang w:val="en-ID" w:bidi="fa-IR"/>
              </w:rPr>
              <w:t>Item</w:t>
            </w:r>
          </w:p>
        </w:tc>
        <w:tc>
          <w:tcPr>
            <w:tcW w:w="943" w:type="dxa"/>
            <w:tcBorders>
              <w:top w:val="single" w:sz="4" w:space="0" w:color="7F7F7F" w:themeColor="text1" w:themeTint="80"/>
              <w:left w:val="nil"/>
              <w:right w:val="nil"/>
            </w:tcBorders>
            <w:vAlign w:val="center"/>
            <w:hideMark/>
          </w:tcPr>
          <w:p w14:paraId="603DB8C9" w14:textId="77777777"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i/>
                <w:iCs/>
                <w:lang w:val="en-ID" w:bidi="fa-IR"/>
              </w:rPr>
            </w:pPr>
            <w:r w:rsidRPr="00B107AA">
              <w:rPr>
                <w:i/>
                <w:iCs/>
                <w:lang w:val="en-ID" w:bidi="fa-IR"/>
              </w:rPr>
              <w:t>p</w:t>
            </w:r>
            <w:r w:rsidRPr="00B107AA">
              <w:rPr>
                <w:lang w:val="en-ID" w:bidi="fa-IR"/>
              </w:rPr>
              <w:t>-value</w:t>
            </w:r>
          </w:p>
        </w:tc>
        <w:tc>
          <w:tcPr>
            <w:tcW w:w="1672" w:type="dxa"/>
            <w:tcBorders>
              <w:top w:val="single" w:sz="4" w:space="0" w:color="7F7F7F" w:themeColor="text1" w:themeTint="80"/>
              <w:left w:val="nil"/>
              <w:right w:val="nil"/>
            </w:tcBorders>
            <w:hideMark/>
          </w:tcPr>
          <w:p w14:paraId="3AE6F294" w14:textId="7885C128"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en-ID" w:bidi="fa-IR"/>
              </w:rPr>
            </w:pPr>
            <w:r w:rsidRPr="00B107AA">
              <w:rPr>
                <w:lang w:val="en-ID" w:bidi="fa-IR"/>
              </w:rPr>
              <w:t>Standardi</w:t>
            </w:r>
            <w:r w:rsidR="00C843B8">
              <w:rPr>
                <w:lang w:val="en-ID" w:bidi="fa-IR"/>
              </w:rPr>
              <w:t>s</w:t>
            </w:r>
            <w:r w:rsidRPr="00B107AA">
              <w:rPr>
                <w:lang w:val="en-ID" w:bidi="fa-IR"/>
              </w:rPr>
              <w:t xml:space="preserve">ed </w:t>
            </w:r>
            <w:r w:rsidR="009518D0">
              <w:rPr>
                <w:lang w:val="en-ID" w:bidi="fa-IR"/>
              </w:rPr>
              <w:t>e</w:t>
            </w:r>
            <w:r w:rsidRPr="00B107AA">
              <w:rPr>
                <w:lang w:val="en-ID" w:bidi="fa-IR"/>
              </w:rPr>
              <w:t>stimate</w:t>
            </w:r>
          </w:p>
        </w:tc>
        <w:tc>
          <w:tcPr>
            <w:tcW w:w="1194" w:type="dxa"/>
            <w:tcBorders>
              <w:top w:val="single" w:sz="4" w:space="0" w:color="7F7F7F" w:themeColor="text1" w:themeTint="80"/>
              <w:left w:val="nil"/>
              <w:right w:val="nil"/>
            </w:tcBorders>
            <w:vAlign w:val="center"/>
            <w:hideMark/>
          </w:tcPr>
          <w:p w14:paraId="48F4DF66" w14:textId="2040FF10" w:rsidR="00B107AA" w:rsidRPr="00B107AA" w:rsidRDefault="00B107AA" w:rsidP="00B107AA">
            <w:pPr>
              <w:cnfStyle w:val="100000000000" w:firstRow="1" w:lastRow="0" w:firstColumn="0" w:lastColumn="0" w:oddVBand="0" w:evenVBand="0" w:oddHBand="0" w:evenHBand="0" w:firstRowFirstColumn="0" w:firstRowLastColumn="0" w:lastRowFirstColumn="0" w:lastRowLastColumn="0"/>
              <w:rPr>
                <w:lang w:val="en-ID" w:bidi="fa-IR"/>
              </w:rPr>
            </w:pPr>
            <w:r w:rsidRPr="00B107AA">
              <w:rPr>
                <w:lang w:val="en-ID" w:bidi="fa-IR"/>
              </w:rPr>
              <w:t xml:space="preserve">Statistical </w:t>
            </w:r>
            <w:r w:rsidR="009518D0">
              <w:rPr>
                <w:lang w:val="en-ID" w:bidi="fa-IR"/>
              </w:rPr>
              <w:t>i</w:t>
            </w:r>
            <w:r w:rsidRPr="00B107AA">
              <w:rPr>
                <w:lang w:val="en-ID" w:bidi="fa-IR"/>
              </w:rPr>
              <w:t>nference</w:t>
            </w:r>
          </w:p>
        </w:tc>
      </w:tr>
      <w:tr w:rsidR="00B107AA" w:rsidRPr="00B107AA" w14:paraId="02EC8588" w14:textId="77777777" w:rsidTr="0018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vMerge w:val="restart"/>
            <w:tcBorders>
              <w:left w:val="nil"/>
              <w:right w:val="nil"/>
            </w:tcBorders>
            <w:hideMark/>
          </w:tcPr>
          <w:p w14:paraId="11542B25" w14:textId="77777777" w:rsidR="00B107AA" w:rsidRPr="00B107AA" w:rsidRDefault="00B107AA" w:rsidP="00B107AA">
            <w:pPr>
              <w:rPr>
                <w:lang w:val="en-ID" w:bidi="fa-IR"/>
              </w:rPr>
            </w:pPr>
            <w:r w:rsidRPr="00B107AA">
              <w:rPr>
                <w:lang w:val="en-ID" w:bidi="fa-IR"/>
              </w:rPr>
              <w:t>Social Inclusion</w:t>
            </w:r>
          </w:p>
          <w:p w14:paraId="6507EA81" w14:textId="77777777" w:rsidR="00B107AA" w:rsidRPr="00B107AA" w:rsidRDefault="00B107AA" w:rsidP="00B107AA">
            <w:pPr>
              <w:rPr>
                <w:lang w:val="en-ID" w:bidi="fa-IR"/>
              </w:rPr>
            </w:pPr>
            <w:r w:rsidRPr="00B107AA">
              <w:rPr>
                <w:lang w:val="en-ID" w:bidi="fa-IR"/>
              </w:rPr>
              <w:t> </w:t>
            </w:r>
          </w:p>
          <w:p w14:paraId="7BBC3C50" w14:textId="77777777" w:rsidR="00B107AA" w:rsidRPr="00B107AA" w:rsidRDefault="00B107AA" w:rsidP="00B107AA">
            <w:pPr>
              <w:rPr>
                <w:lang w:val="en-ID" w:bidi="fa-IR"/>
              </w:rPr>
            </w:pPr>
            <w:r w:rsidRPr="00B107AA">
              <w:rPr>
                <w:lang w:val="en-ID" w:bidi="fa-IR"/>
              </w:rPr>
              <w:t> </w:t>
            </w:r>
          </w:p>
          <w:p w14:paraId="7F62C703" w14:textId="77777777" w:rsidR="00B107AA" w:rsidRPr="00B107AA" w:rsidRDefault="00B107AA" w:rsidP="00B107AA">
            <w:pPr>
              <w:rPr>
                <w:lang w:val="en-ID" w:bidi="fa-IR"/>
              </w:rPr>
            </w:pPr>
            <w:r w:rsidRPr="00B107AA">
              <w:rPr>
                <w:lang w:val="en-ID" w:bidi="fa-IR"/>
              </w:rPr>
              <w:t> </w:t>
            </w:r>
          </w:p>
          <w:p w14:paraId="0B79CB55" w14:textId="77777777" w:rsidR="00B107AA" w:rsidRPr="00B107AA" w:rsidRDefault="00B107AA" w:rsidP="00B107AA">
            <w:pPr>
              <w:rPr>
                <w:lang w:val="en-ID" w:bidi="fa-IR"/>
              </w:rPr>
            </w:pPr>
            <w:r w:rsidRPr="00B107AA">
              <w:rPr>
                <w:lang w:val="en-ID" w:bidi="fa-IR"/>
              </w:rPr>
              <w:t> </w:t>
            </w:r>
          </w:p>
        </w:tc>
        <w:tc>
          <w:tcPr>
            <w:tcW w:w="1029" w:type="dxa"/>
            <w:tcBorders>
              <w:left w:val="nil"/>
              <w:bottom w:val="nil"/>
              <w:right w:val="nil"/>
            </w:tcBorders>
            <w:hideMark/>
          </w:tcPr>
          <w:p w14:paraId="5A7A3E7D"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CB_si1</w:t>
            </w:r>
          </w:p>
        </w:tc>
        <w:tc>
          <w:tcPr>
            <w:tcW w:w="943" w:type="dxa"/>
            <w:tcBorders>
              <w:left w:val="nil"/>
              <w:bottom w:val="nil"/>
              <w:right w:val="nil"/>
            </w:tcBorders>
            <w:hideMark/>
          </w:tcPr>
          <w:p w14:paraId="1EBC2D9C"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0.000</w:t>
            </w:r>
          </w:p>
        </w:tc>
        <w:tc>
          <w:tcPr>
            <w:tcW w:w="1672" w:type="dxa"/>
            <w:tcBorders>
              <w:left w:val="nil"/>
              <w:bottom w:val="nil"/>
              <w:right w:val="nil"/>
            </w:tcBorders>
            <w:hideMark/>
          </w:tcPr>
          <w:p w14:paraId="342E783D"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0.509</w:t>
            </w:r>
          </w:p>
        </w:tc>
        <w:tc>
          <w:tcPr>
            <w:tcW w:w="1194" w:type="dxa"/>
            <w:tcBorders>
              <w:left w:val="nil"/>
              <w:bottom w:val="nil"/>
              <w:right w:val="nil"/>
            </w:tcBorders>
            <w:hideMark/>
          </w:tcPr>
          <w:p w14:paraId="75C78955"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Significant</w:t>
            </w:r>
          </w:p>
        </w:tc>
      </w:tr>
      <w:tr w:rsidR="00B107AA" w:rsidRPr="00B107AA" w14:paraId="4A2AC48F" w14:textId="77777777" w:rsidTr="00185A7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46CB6B6D" w14:textId="77777777" w:rsidR="00B107AA" w:rsidRPr="00B107AA" w:rsidRDefault="00B107AA" w:rsidP="00B107AA">
            <w:pPr>
              <w:rPr>
                <w:lang w:val="en-ID" w:bidi="fa-IR"/>
              </w:rPr>
            </w:pPr>
          </w:p>
        </w:tc>
        <w:tc>
          <w:tcPr>
            <w:tcW w:w="1029" w:type="dxa"/>
            <w:tcBorders>
              <w:top w:val="nil"/>
              <w:left w:val="nil"/>
              <w:bottom w:val="nil"/>
              <w:right w:val="nil"/>
            </w:tcBorders>
            <w:hideMark/>
          </w:tcPr>
          <w:p w14:paraId="04E51736"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CB_si3</w:t>
            </w:r>
          </w:p>
        </w:tc>
        <w:tc>
          <w:tcPr>
            <w:tcW w:w="943" w:type="dxa"/>
            <w:tcBorders>
              <w:top w:val="nil"/>
              <w:left w:val="nil"/>
              <w:bottom w:val="nil"/>
              <w:right w:val="nil"/>
            </w:tcBorders>
            <w:hideMark/>
          </w:tcPr>
          <w:p w14:paraId="63B8183B"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0.000</w:t>
            </w:r>
          </w:p>
        </w:tc>
        <w:tc>
          <w:tcPr>
            <w:tcW w:w="1672" w:type="dxa"/>
            <w:tcBorders>
              <w:top w:val="nil"/>
              <w:left w:val="nil"/>
              <w:bottom w:val="nil"/>
              <w:right w:val="nil"/>
            </w:tcBorders>
            <w:hideMark/>
          </w:tcPr>
          <w:p w14:paraId="28867051"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0.592</w:t>
            </w:r>
          </w:p>
        </w:tc>
        <w:tc>
          <w:tcPr>
            <w:tcW w:w="1194" w:type="dxa"/>
            <w:tcBorders>
              <w:top w:val="nil"/>
              <w:left w:val="nil"/>
              <w:bottom w:val="nil"/>
              <w:right w:val="nil"/>
            </w:tcBorders>
            <w:hideMark/>
          </w:tcPr>
          <w:p w14:paraId="488FA7F2"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Significant</w:t>
            </w:r>
          </w:p>
        </w:tc>
      </w:tr>
      <w:tr w:rsidR="00B107AA" w:rsidRPr="00B107AA" w14:paraId="58D878D1" w14:textId="77777777" w:rsidTr="0018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5C36D06" w14:textId="77777777" w:rsidR="00B107AA" w:rsidRPr="00B107AA" w:rsidRDefault="00B107AA" w:rsidP="00B107AA">
            <w:pPr>
              <w:rPr>
                <w:lang w:val="en-ID" w:bidi="fa-IR"/>
              </w:rPr>
            </w:pPr>
          </w:p>
        </w:tc>
        <w:tc>
          <w:tcPr>
            <w:tcW w:w="1029" w:type="dxa"/>
            <w:tcBorders>
              <w:top w:val="nil"/>
              <w:left w:val="nil"/>
              <w:bottom w:val="nil"/>
              <w:right w:val="nil"/>
            </w:tcBorders>
            <w:hideMark/>
          </w:tcPr>
          <w:p w14:paraId="153A7F89"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CB_si5</w:t>
            </w:r>
          </w:p>
        </w:tc>
        <w:tc>
          <w:tcPr>
            <w:tcW w:w="943" w:type="dxa"/>
            <w:tcBorders>
              <w:top w:val="nil"/>
              <w:left w:val="nil"/>
              <w:bottom w:val="nil"/>
              <w:right w:val="nil"/>
            </w:tcBorders>
            <w:hideMark/>
          </w:tcPr>
          <w:p w14:paraId="003B6405"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0.000</w:t>
            </w:r>
          </w:p>
        </w:tc>
        <w:tc>
          <w:tcPr>
            <w:tcW w:w="1672" w:type="dxa"/>
            <w:tcBorders>
              <w:top w:val="nil"/>
              <w:left w:val="nil"/>
              <w:bottom w:val="nil"/>
              <w:right w:val="nil"/>
            </w:tcBorders>
            <w:hideMark/>
          </w:tcPr>
          <w:p w14:paraId="0178BE9B"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0.511</w:t>
            </w:r>
          </w:p>
        </w:tc>
        <w:tc>
          <w:tcPr>
            <w:tcW w:w="1194" w:type="dxa"/>
            <w:tcBorders>
              <w:top w:val="nil"/>
              <w:left w:val="nil"/>
              <w:bottom w:val="nil"/>
              <w:right w:val="nil"/>
            </w:tcBorders>
            <w:hideMark/>
          </w:tcPr>
          <w:p w14:paraId="1034E8ED"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Significant</w:t>
            </w:r>
          </w:p>
        </w:tc>
      </w:tr>
      <w:tr w:rsidR="00B107AA" w:rsidRPr="00B107AA" w14:paraId="046C1581" w14:textId="77777777" w:rsidTr="00185A7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039FC93D" w14:textId="77777777" w:rsidR="00B107AA" w:rsidRPr="00B107AA" w:rsidRDefault="00B107AA" w:rsidP="00B107AA">
            <w:pPr>
              <w:rPr>
                <w:lang w:val="en-ID" w:bidi="fa-IR"/>
              </w:rPr>
            </w:pPr>
          </w:p>
        </w:tc>
        <w:tc>
          <w:tcPr>
            <w:tcW w:w="1029" w:type="dxa"/>
            <w:tcBorders>
              <w:top w:val="nil"/>
              <w:left w:val="nil"/>
              <w:bottom w:val="nil"/>
              <w:right w:val="nil"/>
            </w:tcBorders>
            <w:hideMark/>
          </w:tcPr>
          <w:p w14:paraId="23F7DE70"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CB_si7</w:t>
            </w:r>
          </w:p>
        </w:tc>
        <w:tc>
          <w:tcPr>
            <w:tcW w:w="943" w:type="dxa"/>
            <w:tcBorders>
              <w:top w:val="nil"/>
              <w:left w:val="nil"/>
              <w:bottom w:val="nil"/>
              <w:right w:val="nil"/>
            </w:tcBorders>
            <w:hideMark/>
          </w:tcPr>
          <w:p w14:paraId="771D27C8"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0.000</w:t>
            </w:r>
          </w:p>
        </w:tc>
        <w:tc>
          <w:tcPr>
            <w:tcW w:w="1672" w:type="dxa"/>
            <w:tcBorders>
              <w:top w:val="nil"/>
              <w:left w:val="nil"/>
              <w:bottom w:val="nil"/>
              <w:right w:val="nil"/>
            </w:tcBorders>
            <w:hideMark/>
          </w:tcPr>
          <w:p w14:paraId="348C0D3B"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0.754</w:t>
            </w:r>
          </w:p>
        </w:tc>
        <w:tc>
          <w:tcPr>
            <w:tcW w:w="1194" w:type="dxa"/>
            <w:tcBorders>
              <w:top w:val="nil"/>
              <w:left w:val="nil"/>
              <w:bottom w:val="nil"/>
              <w:right w:val="nil"/>
            </w:tcBorders>
            <w:hideMark/>
          </w:tcPr>
          <w:p w14:paraId="7BE467B9"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Significant</w:t>
            </w:r>
          </w:p>
        </w:tc>
      </w:tr>
      <w:tr w:rsidR="00B107AA" w:rsidRPr="00B107AA" w14:paraId="616387C3" w14:textId="77777777" w:rsidTr="0018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41819B8D" w14:textId="77777777" w:rsidR="00B107AA" w:rsidRPr="00B107AA" w:rsidRDefault="00B107AA" w:rsidP="00B107AA">
            <w:pPr>
              <w:rPr>
                <w:lang w:val="en-ID" w:bidi="fa-IR"/>
              </w:rPr>
            </w:pPr>
          </w:p>
        </w:tc>
        <w:tc>
          <w:tcPr>
            <w:tcW w:w="1029" w:type="dxa"/>
            <w:tcBorders>
              <w:top w:val="nil"/>
              <w:left w:val="nil"/>
              <w:right w:val="nil"/>
            </w:tcBorders>
            <w:hideMark/>
          </w:tcPr>
          <w:p w14:paraId="24395813"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CB_si9</w:t>
            </w:r>
          </w:p>
        </w:tc>
        <w:tc>
          <w:tcPr>
            <w:tcW w:w="943" w:type="dxa"/>
            <w:tcBorders>
              <w:top w:val="nil"/>
              <w:left w:val="nil"/>
              <w:right w:val="nil"/>
            </w:tcBorders>
            <w:hideMark/>
          </w:tcPr>
          <w:p w14:paraId="46F4A14D"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0.000</w:t>
            </w:r>
          </w:p>
        </w:tc>
        <w:tc>
          <w:tcPr>
            <w:tcW w:w="1672" w:type="dxa"/>
            <w:tcBorders>
              <w:top w:val="nil"/>
              <w:left w:val="nil"/>
              <w:right w:val="nil"/>
            </w:tcBorders>
            <w:hideMark/>
          </w:tcPr>
          <w:p w14:paraId="31DCDCFE"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0.700</w:t>
            </w:r>
          </w:p>
        </w:tc>
        <w:tc>
          <w:tcPr>
            <w:tcW w:w="1194" w:type="dxa"/>
            <w:tcBorders>
              <w:top w:val="nil"/>
              <w:left w:val="nil"/>
              <w:right w:val="nil"/>
            </w:tcBorders>
            <w:hideMark/>
          </w:tcPr>
          <w:p w14:paraId="0116C3D6"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Significant</w:t>
            </w:r>
          </w:p>
        </w:tc>
      </w:tr>
      <w:tr w:rsidR="00B107AA" w:rsidRPr="00B107AA" w14:paraId="50012470" w14:textId="77777777" w:rsidTr="00185A70">
        <w:tc>
          <w:tcPr>
            <w:cnfStyle w:val="001000000000" w:firstRow="0" w:lastRow="0" w:firstColumn="1" w:lastColumn="0" w:oddVBand="0" w:evenVBand="0" w:oddHBand="0" w:evenHBand="0" w:firstRowFirstColumn="0" w:firstRowLastColumn="0" w:lastRowFirstColumn="0" w:lastRowLastColumn="0"/>
            <w:tcW w:w="1714" w:type="dxa"/>
            <w:vMerge w:val="restart"/>
            <w:tcBorders>
              <w:top w:val="nil"/>
              <w:left w:val="nil"/>
              <w:bottom w:val="single" w:sz="4" w:space="0" w:color="7F7F7F" w:themeColor="text1" w:themeTint="80"/>
              <w:right w:val="nil"/>
            </w:tcBorders>
          </w:tcPr>
          <w:p w14:paraId="425C2553" w14:textId="77777777" w:rsidR="00B107AA" w:rsidRPr="00B107AA" w:rsidRDefault="00B107AA" w:rsidP="00B107AA">
            <w:pPr>
              <w:rPr>
                <w:lang w:val="en-ID" w:bidi="fa-IR"/>
              </w:rPr>
            </w:pPr>
            <w:r w:rsidRPr="00B107AA">
              <w:rPr>
                <w:lang w:val="en-ID" w:bidi="fa-IR"/>
              </w:rPr>
              <w:t>Social Exclusion</w:t>
            </w:r>
          </w:p>
          <w:p w14:paraId="6410AC27" w14:textId="77777777" w:rsidR="00B107AA" w:rsidRPr="00B107AA" w:rsidRDefault="00B107AA" w:rsidP="00B107AA">
            <w:pPr>
              <w:rPr>
                <w:lang w:val="en-ID" w:bidi="fa-IR"/>
              </w:rPr>
            </w:pPr>
          </w:p>
        </w:tc>
        <w:tc>
          <w:tcPr>
            <w:tcW w:w="1029" w:type="dxa"/>
            <w:tcBorders>
              <w:top w:val="nil"/>
              <w:left w:val="nil"/>
              <w:bottom w:val="nil"/>
              <w:right w:val="nil"/>
            </w:tcBorders>
            <w:hideMark/>
          </w:tcPr>
          <w:p w14:paraId="6EA94D8D"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CB_se2r</w:t>
            </w:r>
          </w:p>
        </w:tc>
        <w:tc>
          <w:tcPr>
            <w:tcW w:w="943" w:type="dxa"/>
            <w:tcBorders>
              <w:top w:val="nil"/>
              <w:left w:val="nil"/>
              <w:bottom w:val="nil"/>
              <w:right w:val="nil"/>
            </w:tcBorders>
            <w:hideMark/>
          </w:tcPr>
          <w:p w14:paraId="7010FDF3"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0.000</w:t>
            </w:r>
          </w:p>
        </w:tc>
        <w:tc>
          <w:tcPr>
            <w:tcW w:w="1672" w:type="dxa"/>
            <w:tcBorders>
              <w:top w:val="nil"/>
              <w:left w:val="nil"/>
              <w:bottom w:val="nil"/>
              <w:right w:val="nil"/>
            </w:tcBorders>
            <w:hideMark/>
          </w:tcPr>
          <w:p w14:paraId="56EB4A7D"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0.789</w:t>
            </w:r>
          </w:p>
        </w:tc>
        <w:tc>
          <w:tcPr>
            <w:tcW w:w="1194" w:type="dxa"/>
            <w:tcBorders>
              <w:top w:val="nil"/>
              <w:left w:val="nil"/>
              <w:bottom w:val="nil"/>
              <w:right w:val="nil"/>
            </w:tcBorders>
            <w:hideMark/>
          </w:tcPr>
          <w:p w14:paraId="1B9576F4"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Significant</w:t>
            </w:r>
          </w:p>
        </w:tc>
      </w:tr>
      <w:tr w:rsidR="00B107AA" w:rsidRPr="00B107AA" w14:paraId="70C101F6" w14:textId="77777777" w:rsidTr="0018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right w:val="nil"/>
            </w:tcBorders>
            <w:vAlign w:val="center"/>
            <w:hideMark/>
          </w:tcPr>
          <w:p w14:paraId="56DFC68F" w14:textId="77777777" w:rsidR="00B107AA" w:rsidRPr="00B107AA" w:rsidRDefault="00B107AA" w:rsidP="00B107AA">
            <w:pPr>
              <w:rPr>
                <w:lang w:val="en-ID" w:bidi="fa-IR"/>
              </w:rPr>
            </w:pPr>
          </w:p>
        </w:tc>
        <w:tc>
          <w:tcPr>
            <w:tcW w:w="1029" w:type="dxa"/>
            <w:tcBorders>
              <w:top w:val="nil"/>
              <w:left w:val="nil"/>
              <w:bottom w:val="nil"/>
              <w:right w:val="nil"/>
            </w:tcBorders>
            <w:hideMark/>
          </w:tcPr>
          <w:p w14:paraId="61D14F0A"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CB_se4r</w:t>
            </w:r>
          </w:p>
        </w:tc>
        <w:tc>
          <w:tcPr>
            <w:tcW w:w="943" w:type="dxa"/>
            <w:tcBorders>
              <w:top w:val="nil"/>
              <w:left w:val="nil"/>
              <w:bottom w:val="nil"/>
              <w:right w:val="nil"/>
            </w:tcBorders>
            <w:hideMark/>
          </w:tcPr>
          <w:p w14:paraId="35D20C79"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0.000</w:t>
            </w:r>
          </w:p>
        </w:tc>
        <w:tc>
          <w:tcPr>
            <w:tcW w:w="1672" w:type="dxa"/>
            <w:tcBorders>
              <w:top w:val="nil"/>
              <w:left w:val="nil"/>
              <w:bottom w:val="nil"/>
              <w:right w:val="nil"/>
            </w:tcBorders>
            <w:hideMark/>
          </w:tcPr>
          <w:p w14:paraId="56354FA1"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0.466</w:t>
            </w:r>
          </w:p>
        </w:tc>
        <w:tc>
          <w:tcPr>
            <w:tcW w:w="1194" w:type="dxa"/>
            <w:tcBorders>
              <w:top w:val="nil"/>
              <w:left w:val="nil"/>
              <w:bottom w:val="nil"/>
              <w:right w:val="nil"/>
            </w:tcBorders>
            <w:hideMark/>
          </w:tcPr>
          <w:p w14:paraId="563CACE0"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Significant</w:t>
            </w:r>
          </w:p>
        </w:tc>
      </w:tr>
      <w:tr w:rsidR="00B107AA" w:rsidRPr="00B107AA" w14:paraId="08ACFB00" w14:textId="77777777" w:rsidTr="00185A70">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7F7F7F" w:themeColor="text1" w:themeTint="80"/>
              <w:right w:val="nil"/>
            </w:tcBorders>
            <w:vAlign w:val="center"/>
            <w:hideMark/>
          </w:tcPr>
          <w:p w14:paraId="37752C7C" w14:textId="77777777" w:rsidR="00B107AA" w:rsidRPr="00B107AA" w:rsidRDefault="00B107AA" w:rsidP="00B107AA">
            <w:pPr>
              <w:rPr>
                <w:lang w:val="en-ID" w:bidi="fa-IR"/>
              </w:rPr>
            </w:pPr>
          </w:p>
        </w:tc>
        <w:tc>
          <w:tcPr>
            <w:tcW w:w="1029" w:type="dxa"/>
            <w:tcBorders>
              <w:top w:val="nil"/>
              <w:left w:val="nil"/>
              <w:bottom w:val="nil"/>
              <w:right w:val="nil"/>
            </w:tcBorders>
            <w:hideMark/>
          </w:tcPr>
          <w:p w14:paraId="25385D1A"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CB_se6r</w:t>
            </w:r>
          </w:p>
        </w:tc>
        <w:tc>
          <w:tcPr>
            <w:tcW w:w="943" w:type="dxa"/>
            <w:tcBorders>
              <w:top w:val="nil"/>
              <w:left w:val="nil"/>
              <w:bottom w:val="nil"/>
              <w:right w:val="nil"/>
            </w:tcBorders>
            <w:hideMark/>
          </w:tcPr>
          <w:p w14:paraId="7E586FEE"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0.000</w:t>
            </w:r>
          </w:p>
        </w:tc>
        <w:tc>
          <w:tcPr>
            <w:tcW w:w="1672" w:type="dxa"/>
            <w:tcBorders>
              <w:top w:val="nil"/>
              <w:left w:val="nil"/>
              <w:bottom w:val="nil"/>
              <w:right w:val="nil"/>
            </w:tcBorders>
            <w:hideMark/>
          </w:tcPr>
          <w:p w14:paraId="21CAF439"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0.494</w:t>
            </w:r>
          </w:p>
        </w:tc>
        <w:tc>
          <w:tcPr>
            <w:tcW w:w="1194" w:type="dxa"/>
            <w:tcBorders>
              <w:top w:val="nil"/>
              <w:left w:val="nil"/>
              <w:bottom w:val="nil"/>
              <w:right w:val="nil"/>
            </w:tcBorders>
            <w:hideMark/>
          </w:tcPr>
          <w:p w14:paraId="020804CE"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Significant</w:t>
            </w:r>
          </w:p>
        </w:tc>
      </w:tr>
      <w:tr w:rsidR="00B107AA" w:rsidRPr="00B107AA" w14:paraId="2C4A2C39" w14:textId="77777777" w:rsidTr="0018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right w:val="nil"/>
            </w:tcBorders>
            <w:vAlign w:val="center"/>
            <w:hideMark/>
          </w:tcPr>
          <w:p w14:paraId="6F25F043" w14:textId="77777777" w:rsidR="00B107AA" w:rsidRPr="00B107AA" w:rsidRDefault="00B107AA" w:rsidP="00B107AA">
            <w:pPr>
              <w:rPr>
                <w:lang w:val="en-ID" w:bidi="fa-IR"/>
              </w:rPr>
            </w:pPr>
          </w:p>
        </w:tc>
        <w:tc>
          <w:tcPr>
            <w:tcW w:w="1029" w:type="dxa"/>
            <w:tcBorders>
              <w:top w:val="nil"/>
              <w:left w:val="nil"/>
              <w:bottom w:val="nil"/>
              <w:right w:val="nil"/>
            </w:tcBorders>
            <w:hideMark/>
          </w:tcPr>
          <w:p w14:paraId="1D7F3331"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CB_se8r</w:t>
            </w:r>
          </w:p>
        </w:tc>
        <w:tc>
          <w:tcPr>
            <w:tcW w:w="943" w:type="dxa"/>
            <w:tcBorders>
              <w:top w:val="nil"/>
              <w:left w:val="nil"/>
              <w:bottom w:val="nil"/>
              <w:right w:val="nil"/>
            </w:tcBorders>
            <w:hideMark/>
          </w:tcPr>
          <w:p w14:paraId="33DBA8E8"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0.000</w:t>
            </w:r>
          </w:p>
        </w:tc>
        <w:tc>
          <w:tcPr>
            <w:tcW w:w="1672" w:type="dxa"/>
            <w:tcBorders>
              <w:top w:val="nil"/>
              <w:left w:val="nil"/>
              <w:bottom w:val="nil"/>
              <w:right w:val="nil"/>
            </w:tcBorders>
            <w:hideMark/>
          </w:tcPr>
          <w:p w14:paraId="0CEB9869"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0.850</w:t>
            </w:r>
          </w:p>
        </w:tc>
        <w:tc>
          <w:tcPr>
            <w:tcW w:w="1194" w:type="dxa"/>
            <w:tcBorders>
              <w:top w:val="nil"/>
              <w:left w:val="nil"/>
              <w:bottom w:val="nil"/>
              <w:right w:val="nil"/>
            </w:tcBorders>
            <w:hideMark/>
          </w:tcPr>
          <w:p w14:paraId="4542BC9A" w14:textId="77777777" w:rsidR="00B107AA" w:rsidRPr="00B107AA" w:rsidRDefault="00B107AA" w:rsidP="00B107AA">
            <w:pPr>
              <w:cnfStyle w:val="000000100000" w:firstRow="0" w:lastRow="0" w:firstColumn="0" w:lastColumn="0" w:oddVBand="0" w:evenVBand="0" w:oddHBand="1" w:evenHBand="0" w:firstRowFirstColumn="0" w:firstRowLastColumn="0" w:lastRowFirstColumn="0" w:lastRowLastColumn="0"/>
              <w:rPr>
                <w:lang w:val="en-ID" w:bidi="fa-IR"/>
              </w:rPr>
            </w:pPr>
            <w:r w:rsidRPr="00B107AA">
              <w:rPr>
                <w:lang w:val="en-ID" w:bidi="fa-IR"/>
              </w:rPr>
              <w:t>Significant</w:t>
            </w:r>
          </w:p>
        </w:tc>
      </w:tr>
      <w:tr w:rsidR="00B107AA" w:rsidRPr="00B107AA" w14:paraId="680D8AF5" w14:textId="77777777" w:rsidTr="00185A70">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7F7F7F" w:themeColor="text1" w:themeTint="80"/>
              <w:right w:val="nil"/>
            </w:tcBorders>
            <w:vAlign w:val="center"/>
            <w:hideMark/>
          </w:tcPr>
          <w:p w14:paraId="348F5D1A" w14:textId="77777777" w:rsidR="00B107AA" w:rsidRPr="00B107AA" w:rsidRDefault="00B107AA" w:rsidP="00B107AA">
            <w:pPr>
              <w:rPr>
                <w:lang w:val="en-ID" w:bidi="fa-IR"/>
              </w:rPr>
            </w:pPr>
          </w:p>
        </w:tc>
        <w:tc>
          <w:tcPr>
            <w:tcW w:w="1029" w:type="dxa"/>
            <w:tcBorders>
              <w:top w:val="nil"/>
              <w:left w:val="nil"/>
              <w:bottom w:val="single" w:sz="4" w:space="0" w:color="7F7F7F" w:themeColor="text1" w:themeTint="80"/>
              <w:right w:val="nil"/>
            </w:tcBorders>
            <w:hideMark/>
          </w:tcPr>
          <w:p w14:paraId="7AF3727A"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CB_se10r</w:t>
            </w:r>
          </w:p>
        </w:tc>
        <w:tc>
          <w:tcPr>
            <w:tcW w:w="943" w:type="dxa"/>
            <w:tcBorders>
              <w:top w:val="nil"/>
              <w:left w:val="nil"/>
              <w:bottom w:val="single" w:sz="4" w:space="0" w:color="7F7F7F" w:themeColor="text1" w:themeTint="80"/>
              <w:right w:val="nil"/>
            </w:tcBorders>
            <w:hideMark/>
          </w:tcPr>
          <w:p w14:paraId="687BAFD3"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0.000</w:t>
            </w:r>
          </w:p>
        </w:tc>
        <w:tc>
          <w:tcPr>
            <w:tcW w:w="1672" w:type="dxa"/>
            <w:tcBorders>
              <w:top w:val="nil"/>
              <w:left w:val="nil"/>
              <w:bottom w:val="single" w:sz="4" w:space="0" w:color="7F7F7F" w:themeColor="text1" w:themeTint="80"/>
              <w:right w:val="nil"/>
            </w:tcBorders>
            <w:hideMark/>
          </w:tcPr>
          <w:p w14:paraId="6C151514"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0.799</w:t>
            </w:r>
          </w:p>
        </w:tc>
        <w:tc>
          <w:tcPr>
            <w:tcW w:w="1194" w:type="dxa"/>
            <w:tcBorders>
              <w:top w:val="nil"/>
              <w:left w:val="nil"/>
              <w:bottom w:val="single" w:sz="4" w:space="0" w:color="7F7F7F" w:themeColor="text1" w:themeTint="80"/>
              <w:right w:val="nil"/>
            </w:tcBorders>
            <w:hideMark/>
          </w:tcPr>
          <w:p w14:paraId="7FD6A1E3" w14:textId="77777777" w:rsidR="00B107AA" w:rsidRPr="00B107AA" w:rsidRDefault="00B107AA" w:rsidP="00B107AA">
            <w:pPr>
              <w:cnfStyle w:val="000000000000" w:firstRow="0" w:lastRow="0" w:firstColumn="0" w:lastColumn="0" w:oddVBand="0" w:evenVBand="0" w:oddHBand="0" w:evenHBand="0" w:firstRowFirstColumn="0" w:firstRowLastColumn="0" w:lastRowFirstColumn="0" w:lastRowLastColumn="0"/>
              <w:rPr>
                <w:lang w:val="en-ID" w:bidi="fa-IR"/>
              </w:rPr>
            </w:pPr>
            <w:r w:rsidRPr="00B107AA">
              <w:rPr>
                <w:lang w:val="en-ID" w:bidi="fa-IR"/>
              </w:rPr>
              <w:t>Significant</w:t>
            </w:r>
          </w:p>
        </w:tc>
      </w:tr>
    </w:tbl>
    <w:p w14:paraId="6A98BED4" w14:textId="77777777" w:rsidR="00B107AA" w:rsidRPr="00B107AA" w:rsidRDefault="00B107AA" w:rsidP="00B107AA">
      <w:pPr>
        <w:rPr>
          <w:lang w:val="en-ID" w:bidi="fa-IR"/>
        </w:rPr>
      </w:pPr>
    </w:p>
    <w:p w14:paraId="00DDC574" w14:textId="77777777" w:rsidR="00B107AA" w:rsidRPr="00B107AA" w:rsidRDefault="00B107AA" w:rsidP="00B107AA">
      <w:pPr>
        <w:rPr>
          <w:lang w:val="en-ID" w:bidi="fa-IR"/>
        </w:rPr>
      </w:pPr>
    </w:p>
    <w:p w14:paraId="56EC9EF9" w14:textId="77777777" w:rsidR="00B107AA" w:rsidRPr="00B107AA" w:rsidRDefault="00B107AA" w:rsidP="00B107AA">
      <w:pPr>
        <w:rPr>
          <w:lang w:val="en-ID" w:bidi="fa-IR"/>
        </w:rPr>
      </w:pPr>
    </w:p>
    <w:p w14:paraId="4E9B9A43" w14:textId="77777777" w:rsidR="00B107AA" w:rsidRPr="00B107AA" w:rsidRDefault="00B107AA" w:rsidP="00B107AA">
      <w:pPr>
        <w:rPr>
          <w:lang w:val="en-ID" w:bidi="fa-IR"/>
        </w:rPr>
      </w:pPr>
    </w:p>
    <w:p w14:paraId="4279DF8C" w14:textId="77777777" w:rsidR="00B107AA" w:rsidRPr="00B107AA" w:rsidRDefault="00B107AA" w:rsidP="00B107AA">
      <w:pPr>
        <w:rPr>
          <w:lang w:val="en-ID" w:bidi="fa-IR"/>
        </w:rPr>
      </w:pPr>
    </w:p>
    <w:p w14:paraId="5881C437" w14:textId="77777777" w:rsidR="00B107AA" w:rsidRPr="00B107AA" w:rsidRDefault="00B107AA" w:rsidP="00B107AA">
      <w:pPr>
        <w:rPr>
          <w:lang w:val="en-ID" w:bidi="fa-IR"/>
        </w:rPr>
      </w:pPr>
    </w:p>
    <w:p w14:paraId="05516154" w14:textId="77777777" w:rsidR="00B107AA" w:rsidRPr="00B107AA" w:rsidRDefault="00B107AA" w:rsidP="00B107AA">
      <w:pPr>
        <w:rPr>
          <w:lang w:val="en-ID" w:bidi="fa-IR"/>
        </w:rPr>
      </w:pPr>
    </w:p>
    <w:p w14:paraId="1E0F83D9" w14:textId="77777777" w:rsidR="00B107AA" w:rsidRPr="00B107AA" w:rsidRDefault="00B107AA" w:rsidP="00B107AA">
      <w:pPr>
        <w:rPr>
          <w:lang w:val="en-ID" w:bidi="fa-IR"/>
        </w:rPr>
      </w:pPr>
    </w:p>
    <w:p w14:paraId="5441D560" w14:textId="77777777" w:rsidR="00B107AA" w:rsidRPr="00B107AA" w:rsidRDefault="00B107AA" w:rsidP="00B107AA">
      <w:pPr>
        <w:rPr>
          <w:lang w:val="en-ID" w:bidi="fa-IR"/>
        </w:rPr>
      </w:pPr>
    </w:p>
    <w:p w14:paraId="7CA3B0E4" w14:textId="77777777" w:rsidR="00B107AA" w:rsidRPr="00B107AA" w:rsidRDefault="00B107AA" w:rsidP="00B107AA">
      <w:pPr>
        <w:rPr>
          <w:lang w:val="en-ID" w:bidi="fa-IR"/>
        </w:rPr>
      </w:pPr>
    </w:p>
    <w:p w14:paraId="23331A8C" w14:textId="77777777" w:rsidR="003D1605" w:rsidRDefault="003D1605" w:rsidP="00F324F7">
      <w:pPr>
        <w:pStyle w:val="JANZSSABodycopy"/>
        <w:rPr>
          <w:lang w:val="en-ID"/>
        </w:rPr>
      </w:pPr>
    </w:p>
    <w:p w14:paraId="195D166B" w14:textId="77777777" w:rsidR="003D1605" w:rsidRDefault="003D1605" w:rsidP="00F324F7">
      <w:pPr>
        <w:pStyle w:val="JANZSSABodycopy"/>
        <w:rPr>
          <w:lang w:val="en-ID"/>
        </w:rPr>
      </w:pPr>
    </w:p>
    <w:p w14:paraId="31796DC5" w14:textId="19A99245" w:rsidR="00B107AA" w:rsidRPr="00B107AA" w:rsidRDefault="00B107AA" w:rsidP="00F324F7">
      <w:pPr>
        <w:pStyle w:val="JANZSSABodycopy"/>
        <w:rPr>
          <w:lang w:val="en-ID"/>
        </w:rPr>
      </w:pPr>
      <w:r w:rsidRPr="00B107AA">
        <w:rPr>
          <w:lang w:val="en-ID"/>
        </w:rPr>
        <w:t xml:space="preserve">Meanwhile, the construct reliability test using </w:t>
      </w:r>
      <w:r w:rsidRPr="001658F2">
        <w:rPr>
          <w:lang w:val="en-ID"/>
        </w:rPr>
        <w:t>McDonald's omega coefficient (ω)</w:t>
      </w:r>
      <w:r w:rsidRPr="00B107AA">
        <w:rPr>
          <w:lang w:val="en-ID"/>
        </w:rPr>
        <w:t xml:space="preserve"> showed that the CBQ's total scale reliability was 0.752, with the social inclusion dimension (</w:t>
      </w:r>
      <w:proofErr w:type="spellStart"/>
      <w:r w:rsidRPr="00B107AA">
        <w:rPr>
          <w:lang w:val="en-ID"/>
        </w:rPr>
        <w:t>SIω</w:t>
      </w:r>
      <w:proofErr w:type="spellEnd"/>
      <w:r w:rsidRPr="00B107AA">
        <w:rPr>
          <w:lang w:val="en-ID"/>
        </w:rPr>
        <w:t>) at 0.748 and the social exclusion dimension (</w:t>
      </w:r>
      <w:proofErr w:type="spellStart"/>
      <w:r w:rsidRPr="00B107AA">
        <w:rPr>
          <w:lang w:val="en-ID"/>
        </w:rPr>
        <w:t>SEω</w:t>
      </w:r>
      <w:proofErr w:type="spellEnd"/>
      <w:r w:rsidRPr="00B107AA">
        <w:rPr>
          <w:lang w:val="en-ID"/>
        </w:rPr>
        <w:t>) at 0.804.</w:t>
      </w:r>
    </w:p>
    <w:p w14:paraId="117F2115" w14:textId="5A384A8C" w:rsidR="00B107AA" w:rsidRPr="00F324F7" w:rsidRDefault="00B107AA" w:rsidP="00F324F7">
      <w:pPr>
        <w:pStyle w:val="JANZSSABodycopy"/>
        <w:rPr>
          <w:lang w:val="en-ID"/>
        </w:rPr>
      </w:pPr>
      <w:r w:rsidRPr="00B107AA">
        <w:rPr>
          <w:lang w:val="en-ID"/>
        </w:rPr>
        <w:t xml:space="preserve">Based on the model fit indices, the factor loadings of each item, and the construct reliability test results, the measurement model of the Indonesian version of the CBQ instrument </w:t>
      </w:r>
      <w:r w:rsidR="00DE029F">
        <w:rPr>
          <w:lang w:val="en-ID"/>
        </w:rPr>
        <w:t>was</w:t>
      </w:r>
      <w:r w:rsidR="00DE029F" w:rsidRPr="00B107AA">
        <w:rPr>
          <w:lang w:val="en-ID"/>
        </w:rPr>
        <w:t xml:space="preserve"> </w:t>
      </w:r>
      <w:r w:rsidRPr="00B107AA">
        <w:rPr>
          <w:lang w:val="en-ID"/>
        </w:rPr>
        <w:t xml:space="preserve">acceptable and </w:t>
      </w:r>
      <w:r w:rsidR="00DE029F" w:rsidRPr="00B107AA">
        <w:rPr>
          <w:lang w:val="en-ID"/>
        </w:rPr>
        <w:t>c</w:t>
      </w:r>
      <w:r w:rsidR="00DE029F">
        <w:rPr>
          <w:lang w:val="en-ID"/>
        </w:rPr>
        <w:t>ould</w:t>
      </w:r>
      <w:r w:rsidR="00DE029F" w:rsidRPr="00B107AA">
        <w:rPr>
          <w:lang w:val="en-ID"/>
        </w:rPr>
        <w:t xml:space="preserve"> </w:t>
      </w:r>
      <w:r w:rsidRPr="00B107AA">
        <w:rPr>
          <w:lang w:val="en-ID"/>
        </w:rPr>
        <w:t xml:space="preserve">proceed to </w:t>
      </w:r>
      <w:r w:rsidR="00E960AB">
        <w:rPr>
          <w:lang w:val="en-ID"/>
        </w:rPr>
        <w:t>SEM</w:t>
      </w:r>
      <w:r w:rsidRPr="00B107AA">
        <w:rPr>
          <w:lang w:val="en-ID"/>
        </w:rPr>
        <w:t>.</w:t>
      </w:r>
    </w:p>
    <w:p w14:paraId="00BDE0EB" w14:textId="7C27DC2C" w:rsidR="00B107AA" w:rsidRPr="00F324F7" w:rsidRDefault="00B107AA" w:rsidP="00F324F7">
      <w:pPr>
        <w:pStyle w:val="JANZSSAHeading2"/>
        <w:rPr>
          <w:lang w:bidi="fa-IR"/>
        </w:rPr>
      </w:pPr>
      <w:r w:rsidRPr="00B107AA">
        <w:rPr>
          <w:lang w:bidi="fa-IR"/>
        </w:rPr>
        <w:t xml:space="preserve">Structural </w:t>
      </w:r>
      <w:r w:rsidR="004F01AF">
        <w:rPr>
          <w:lang w:bidi="fa-IR"/>
        </w:rPr>
        <w:t>m</w:t>
      </w:r>
      <w:r w:rsidRPr="00B107AA">
        <w:rPr>
          <w:lang w:bidi="fa-IR"/>
        </w:rPr>
        <w:t xml:space="preserve">odeling </w:t>
      </w:r>
      <w:r w:rsidR="004F01AF">
        <w:rPr>
          <w:lang w:bidi="fa-IR"/>
        </w:rPr>
        <w:t>t</w:t>
      </w:r>
      <w:r w:rsidRPr="00B107AA">
        <w:rPr>
          <w:lang w:bidi="fa-IR"/>
        </w:rPr>
        <w:t xml:space="preserve">est </w:t>
      </w:r>
      <w:r w:rsidR="004F01AF">
        <w:rPr>
          <w:lang w:bidi="fa-IR"/>
        </w:rPr>
        <w:t>u</w:t>
      </w:r>
      <w:r w:rsidRPr="00B107AA">
        <w:rPr>
          <w:lang w:bidi="fa-IR"/>
        </w:rPr>
        <w:t xml:space="preserve">sing the MIMIC </w:t>
      </w:r>
      <w:r w:rsidR="004F01AF">
        <w:rPr>
          <w:lang w:bidi="fa-IR"/>
        </w:rPr>
        <w:t>m</w:t>
      </w:r>
      <w:r w:rsidRPr="00B107AA">
        <w:rPr>
          <w:lang w:bidi="fa-IR"/>
        </w:rPr>
        <w:t>odel</w:t>
      </w:r>
    </w:p>
    <w:p w14:paraId="78E6599C" w14:textId="21443C11" w:rsidR="00B107AA" w:rsidRPr="00B107AA" w:rsidRDefault="00B107AA" w:rsidP="00F324F7">
      <w:pPr>
        <w:pStyle w:val="JANZSSABodycopy"/>
        <w:spacing w:after="240"/>
        <w:rPr>
          <w:lang w:val="en-ID"/>
        </w:rPr>
      </w:pPr>
      <w:r w:rsidRPr="00B107AA">
        <w:rPr>
          <w:lang w:val="en-ID"/>
        </w:rPr>
        <w:t>The structural modeling test using the standardi</w:t>
      </w:r>
      <w:r w:rsidR="00C843B8">
        <w:rPr>
          <w:lang w:val="en-ID"/>
        </w:rPr>
        <w:t>s</w:t>
      </w:r>
      <w:r w:rsidRPr="00B107AA">
        <w:rPr>
          <w:lang w:val="en-ID"/>
        </w:rPr>
        <w:t xml:space="preserve">ed MIMIC model yielded goodness-of-fit indices that met the acceptable criteria, namely </w:t>
      </w:r>
      <w:r w:rsidR="00B32A45">
        <w:rPr>
          <w:lang w:val="en-ID"/>
        </w:rPr>
        <w:t>c</w:t>
      </w:r>
      <w:r w:rsidRPr="00B107AA">
        <w:rPr>
          <w:lang w:val="en-ID"/>
        </w:rPr>
        <w:t>hi-square=193.339 (</w:t>
      </w:r>
      <w:r w:rsidRPr="00B107AA">
        <w:rPr>
          <w:i/>
          <w:lang w:val="en-ID"/>
        </w:rPr>
        <w:t>p</w:t>
      </w:r>
      <w:r w:rsidRPr="00B107AA">
        <w:rPr>
          <w:lang w:val="en-ID"/>
        </w:rPr>
        <w:t xml:space="preserve">=0.000), RMSEA=0.060, GFI=0.938, CFI=0.936, and TLI=0.916. </w:t>
      </w:r>
      <w:r w:rsidR="00C43A41">
        <w:rPr>
          <w:lang w:val="en-ID"/>
        </w:rPr>
        <w:t>These indices indicated that the model adequately fit the data, supporting its use in examining the hypothesised</w:t>
      </w:r>
      <w:r w:rsidR="00B8292A">
        <w:rPr>
          <w:lang w:val="en-ID"/>
        </w:rPr>
        <w:t xml:space="preserve"> effects of covariate variables</w:t>
      </w:r>
      <w:r w:rsidR="00D65547">
        <w:rPr>
          <w:lang w:val="en-ID"/>
        </w:rPr>
        <w:t>—</w:t>
      </w:r>
      <w:r w:rsidR="00B8292A">
        <w:rPr>
          <w:lang w:val="en-ID"/>
        </w:rPr>
        <w:t>parental education, region of origin, residential distance, and living arra</w:t>
      </w:r>
      <w:r w:rsidR="00D65547">
        <w:rPr>
          <w:lang w:val="en-ID"/>
        </w:rPr>
        <w:t>ng</w:t>
      </w:r>
      <w:r w:rsidR="00B8292A">
        <w:rPr>
          <w:lang w:val="en-ID"/>
        </w:rPr>
        <w:t>ement</w:t>
      </w:r>
      <w:r w:rsidR="00D65547">
        <w:rPr>
          <w:lang w:val="en-ID"/>
        </w:rPr>
        <w:t>—</w:t>
      </w:r>
      <w:r w:rsidR="00B8292A">
        <w:rPr>
          <w:lang w:val="en-ID"/>
        </w:rPr>
        <w:t xml:space="preserve">on students’ sense of college belongingness. </w:t>
      </w:r>
      <w:r w:rsidR="003B1750" w:rsidRPr="003B1750">
        <w:t>Figure 1 illustrates the specified MIMIC model, in which the four sociodemographic covariates were modelled as predictors of the social inclusion and social exclusion dimensions of college belongingness.</w:t>
      </w:r>
    </w:p>
    <w:p w14:paraId="3808ADBF" w14:textId="6C180C21" w:rsidR="00B107AA" w:rsidRPr="00B107AA" w:rsidRDefault="00B107AA" w:rsidP="00F324F7">
      <w:pPr>
        <w:pStyle w:val="JANZSSAFigureTableNumber"/>
        <w:rPr>
          <w:lang w:val="en-ID"/>
        </w:rPr>
      </w:pPr>
      <w:r w:rsidRPr="00B107AA">
        <w:rPr>
          <w:lang w:val="en-ID"/>
        </w:rPr>
        <w:lastRenderedPageBreak/>
        <w:t xml:space="preserve">Figure 1 </w:t>
      </w:r>
    </w:p>
    <w:p w14:paraId="183E286C" w14:textId="545415D4" w:rsidR="00B107AA" w:rsidRPr="00B107AA" w:rsidRDefault="00B107AA" w:rsidP="00240EC8">
      <w:pPr>
        <w:pStyle w:val="JANZSSATableLabel"/>
        <w:rPr>
          <w:lang w:val="en-ID"/>
        </w:rPr>
      </w:pPr>
      <w:r w:rsidRPr="00B107AA">
        <w:rPr>
          <w:lang w:val="en-ID"/>
        </w:rPr>
        <w:t>MIMIC Model of College Belongingness Influenced by Covariates</w:t>
      </w:r>
    </w:p>
    <w:p w14:paraId="23A169D0" w14:textId="4D40FDA7" w:rsidR="00B107AA" w:rsidRPr="00B107AA" w:rsidRDefault="00B107AA" w:rsidP="00B107AA">
      <w:pPr>
        <w:rPr>
          <w:lang w:val="en-ID" w:bidi="fa-IR"/>
        </w:rPr>
      </w:pPr>
      <w:r w:rsidRPr="00B107AA">
        <w:rPr>
          <w:noProof/>
          <w:lang w:val="en-ID" w:bidi="fa-IR"/>
        </w:rPr>
        <w:drawing>
          <wp:inline distT="0" distB="0" distL="0" distR="0" wp14:anchorId="72C7704F" wp14:editId="258DD56A">
            <wp:extent cx="3855720" cy="3116580"/>
            <wp:effectExtent l="0" t="0" r="0" b="7620"/>
            <wp:docPr id="2123138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1286"/>
                    <a:stretch>
                      <a:fillRect/>
                    </a:stretch>
                  </pic:blipFill>
                  <pic:spPr bwMode="auto">
                    <a:xfrm>
                      <a:off x="0" y="0"/>
                      <a:ext cx="3855720" cy="3116580"/>
                    </a:xfrm>
                    <a:prstGeom prst="rect">
                      <a:avLst/>
                    </a:prstGeom>
                    <a:noFill/>
                    <a:ln>
                      <a:noFill/>
                    </a:ln>
                  </pic:spPr>
                </pic:pic>
              </a:graphicData>
            </a:graphic>
          </wp:inline>
        </w:drawing>
      </w:r>
    </w:p>
    <w:p w14:paraId="02651B58" w14:textId="77777777" w:rsidR="00B107AA" w:rsidRPr="00B107AA" w:rsidRDefault="00B107AA" w:rsidP="00B107AA">
      <w:pPr>
        <w:rPr>
          <w:lang w:val="en-ID" w:bidi="fa-IR"/>
        </w:rPr>
      </w:pPr>
    </w:p>
    <w:p w14:paraId="7820BEB9" w14:textId="7566D55E" w:rsidR="00B107AA" w:rsidRPr="00B107AA" w:rsidRDefault="00B107AA" w:rsidP="00F324F7">
      <w:pPr>
        <w:pStyle w:val="JANZSSABodycopy"/>
        <w:spacing w:after="240"/>
        <w:rPr>
          <w:lang w:val="en-ID"/>
        </w:rPr>
      </w:pPr>
      <w:r w:rsidRPr="00B107AA">
        <w:rPr>
          <w:lang w:val="en-ID"/>
        </w:rPr>
        <w:t>The results of the MIMIC model test also reveal</w:t>
      </w:r>
      <w:r w:rsidR="005F4134">
        <w:rPr>
          <w:lang w:val="en-ID"/>
        </w:rPr>
        <w:t>ed</w:t>
      </w:r>
      <w:r w:rsidRPr="00B107AA">
        <w:rPr>
          <w:lang w:val="en-ID"/>
        </w:rPr>
        <w:t xml:space="preserve"> the roles of each covariate variable on students' college belongingness. The data analysis showed that the covariate of parental education had no significant effect on the dimensions of social inclusion and social exclusion (</w:t>
      </w:r>
      <w:r w:rsidRPr="00B107AA">
        <w:rPr>
          <w:i/>
          <w:lang w:val="en-ID"/>
        </w:rPr>
        <w:t>p</w:t>
      </w:r>
      <w:r w:rsidRPr="00B107AA">
        <w:rPr>
          <w:lang w:val="en-ID"/>
        </w:rPr>
        <w:t>&gt;0.05). Similarly, the current living arrangement covariate did not significantly influence social inclusion or exclusion (</w:t>
      </w:r>
      <w:r w:rsidRPr="00B107AA">
        <w:rPr>
          <w:i/>
          <w:lang w:val="en-ID"/>
        </w:rPr>
        <w:t>p</w:t>
      </w:r>
      <w:r w:rsidRPr="00B107AA">
        <w:rPr>
          <w:lang w:val="en-ID"/>
        </w:rPr>
        <w:t>&gt;0.05). The distance from residence to campus covariate had no significant effect on social exclusion (</w:t>
      </w:r>
      <w:r w:rsidRPr="00B107AA">
        <w:rPr>
          <w:i/>
          <w:lang w:val="en-ID"/>
        </w:rPr>
        <w:t>p</w:t>
      </w:r>
      <w:r w:rsidRPr="00B107AA">
        <w:rPr>
          <w:lang w:val="en-ID"/>
        </w:rPr>
        <w:t>&gt;0.05), but it significantly affected social inclusion (</w:t>
      </w:r>
      <w:r w:rsidRPr="00B107AA">
        <w:rPr>
          <w:i/>
          <w:lang w:val="en-ID"/>
        </w:rPr>
        <w:t>p</w:t>
      </w:r>
      <w:r w:rsidRPr="00B107AA">
        <w:rPr>
          <w:lang w:val="en-ID"/>
        </w:rPr>
        <w:t>&lt;0.05). Furthermore, students' region of origin significantly impacted social inclusion and social exclusion (</w:t>
      </w:r>
      <w:r w:rsidRPr="00B107AA">
        <w:rPr>
          <w:i/>
          <w:lang w:val="en-ID"/>
        </w:rPr>
        <w:t>p</w:t>
      </w:r>
      <w:r w:rsidRPr="00B107AA">
        <w:rPr>
          <w:lang w:val="en-ID"/>
        </w:rPr>
        <w:t>&lt;0.05), with a negative correlation observed between region of origin and social inclusion. Table 7 presents detailed data regarding the roles of the covariate variables on the endogenous variables.</w:t>
      </w:r>
    </w:p>
    <w:p w14:paraId="1B41A5F0" w14:textId="71964725" w:rsidR="00B107AA" w:rsidRPr="00B107AA" w:rsidRDefault="00B107AA" w:rsidP="00F324F7">
      <w:pPr>
        <w:pStyle w:val="JANZSSAFigureTableNumber"/>
        <w:rPr>
          <w:lang w:val="en-ID"/>
        </w:rPr>
      </w:pPr>
      <w:r w:rsidRPr="00B107AA">
        <w:rPr>
          <w:lang w:val="en-ID"/>
        </w:rPr>
        <w:t>Table 7</w:t>
      </w:r>
    </w:p>
    <w:p w14:paraId="40879CDD" w14:textId="77777777" w:rsidR="00B107AA" w:rsidRPr="00B107AA" w:rsidRDefault="00B107AA" w:rsidP="00F324F7">
      <w:pPr>
        <w:pStyle w:val="JANZSSATableLabel"/>
        <w:rPr>
          <w:lang w:val="en-ID"/>
        </w:rPr>
      </w:pPr>
      <w:r w:rsidRPr="00B107AA">
        <w:rPr>
          <w:lang w:val="en-ID"/>
        </w:rPr>
        <w:t>Significance Testing Among Variables</w:t>
      </w:r>
    </w:p>
    <w:tbl>
      <w:tblPr>
        <w:tblStyle w:val="ListTable6Colorful"/>
        <w:tblW w:w="9630" w:type="dxa"/>
        <w:tblLayout w:type="fixed"/>
        <w:tblCellMar>
          <w:right w:w="86" w:type="dxa"/>
        </w:tblCellMar>
        <w:tblLook w:val="04A0" w:firstRow="1" w:lastRow="0" w:firstColumn="1" w:lastColumn="0" w:noHBand="0" w:noVBand="1"/>
      </w:tblPr>
      <w:tblGrid>
        <w:gridCol w:w="3240"/>
        <w:gridCol w:w="1278"/>
        <w:gridCol w:w="1278"/>
        <w:gridCol w:w="1224"/>
        <w:gridCol w:w="1332"/>
        <w:gridCol w:w="1278"/>
      </w:tblGrid>
      <w:tr w:rsidR="009518D0" w:rsidRPr="00B107AA" w14:paraId="2C05EF67" w14:textId="77777777" w:rsidTr="00F551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left w:val="nil"/>
              <w:bottom w:val="single" w:sz="4" w:space="0" w:color="auto"/>
              <w:right w:val="nil"/>
            </w:tcBorders>
            <w:vAlign w:val="center"/>
            <w:hideMark/>
          </w:tcPr>
          <w:p w14:paraId="2D99985D" w14:textId="77777777" w:rsidR="009518D0" w:rsidRPr="009518D0" w:rsidRDefault="009518D0" w:rsidP="00B107AA">
            <w:pPr>
              <w:rPr>
                <w:lang w:val="en-ID" w:bidi="fa-IR"/>
              </w:rPr>
            </w:pPr>
            <w:r w:rsidRPr="009518D0">
              <w:rPr>
                <w:lang w:val="en-ID" w:bidi="fa-IR"/>
              </w:rPr>
              <w:t xml:space="preserve">Covariate </w:t>
            </w:r>
            <w:r w:rsidRPr="009518D0">
              <w:rPr>
                <w:lang w:bidi="fa-IR"/>
              </w:rPr>
              <w:sym w:font="Wingdings" w:char="F0E0"/>
            </w:r>
            <w:r w:rsidRPr="009518D0">
              <w:rPr>
                <w:lang w:bidi="fa-IR"/>
              </w:rPr>
              <w:t xml:space="preserve"> Outcome</w:t>
            </w:r>
          </w:p>
        </w:tc>
        <w:tc>
          <w:tcPr>
            <w:tcW w:w="1278" w:type="dxa"/>
            <w:tcBorders>
              <w:top w:val="single" w:sz="4" w:space="0" w:color="auto"/>
              <w:left w:val="nil"/>
              <w:bottom w:val="single" w:sz="4" w:space="0" w:color="auto"/>
              <w:right w:val="nil"/>
            </w:tcBorders>
            <w:vAlign w:val="center"/>
            <w:hideMark/>
          </w:tcPr>
          <w:p w14:paraId="0453192B" w14:textId="77777777" w:rsidR="009518D0" w:rsidRPr="009518D0" w:rsidRDefault="009518D0" w:rsidP="00B107AA">
            <w:pPr>
              <w:cnfStyle w:val="100000000000" w:firstRow="1" w:lastRow="0" w:firstColumn="0" w:lastColumn="0" w:oddVBand="0" w:evenVBand="0" w:oddHBand="0" w:evenHBand="0" w:firstRowFirstColumn="0" w:firstRowLastColumn="0" w:lastRowFirstColumn="0" w:lastRowLastColumn="0"/>
              <w:rPr>
                <w:lang w:val="en-ID" w:bidi="fa-IR"/>
              </w:rPr>
            </w:pPr>
            <w:r w:rsidRPr="009518D0">
              <w:rPr>
                <w:lang w:val="en-ID" w:bidi="fa-IR"/>
              </w:rPr>
              <w:t>SE</w:t>
            </w:r>
          </w:p>
        </w:tc>
        <w:tc>
          <w:tcPr>
            <w:tcW w:w="1278" w:type="dxa"/>
            <w:tcBorders>
              <w:top w:val="single" w:sz="4" w:space="0" w:color="auto"/>
              <w:left w:val="nil"/>
              <w:bottom w:val="single" w:sz="4" w:space="0" w:color="auto"/>
              <w:right w:val="nil"/>
            </w:tcBorders>
            <w:vAlign w:val="center"/>
            <w:hideMark/>
          </w:tcPr>
          <w:p w14:paraId="02F94065" w14:textId="77777777" w:rsidR="009518D0" w:rsidRPr="009518D0" w:rsidRDefault="009518D0" w:rsidP="00B107AA">
            <w:pPr>
              <w:cnfStyle w:val="100000000000" w:firstRow="1" w:lastRow="0" w:firstColumn="0" w:lastColumn="0" w:oddVBand="0" w:evenVBand="0" w:oddHBand="0" w:evenHBand="0" w:firstRowFirstColumn="0" w:firstRowLastColumn="0" w:lastRowFirstColumn="0" w:lastRowLastColumn="0"/>
              <w:rPr>
                <w:lang w:val="en-ID" w:bidi="fa-IR"/>
              </w:rPr>
            </w:pPr>
            <w:r w:rsidRPr="009518D0">
              <w:rPr>
                <w:lang w:val="en-ID" w:bidi="fa-IR"/>
              </w:rPr>
              <w:t>CR</w:t>
            </w:r>
          </w:p>
        </w:tc>
        <w:tc>
          <w:tcPr>
            <w:tcW w:w="1224" w:type="dxa"/>
            <w:tcBorders>
              <w:top w:val="single" w:sz="4" w:space="0" w:color="auto"/>
              <w:left w:val="nil"/>
              <w:bottom w:val="single" w:sz="4" w:space="0" w:color="auto"/>
              <w:right w:val="nil"/>
            </w:tcBorders>
            <w:vAlign w:val="center"/>
            <w:hideMark/>
          </w:tcPr>
          <w:p w14:paraId="2F2817E4" w14:textId="77777777" w:rsidR="009518D0" w:rsidRPr="009518D0" w:rsidRDefault="009518D0" w:rsidP="00B107AA">
            <w:pPr>
              <w:cnfStyle w:val="100000000000" w:firstRow="1" w:lastRow="0" w:firstColumn="0" w:lastColumn="0" w:oddVBand="0" w:evenVBand="0" w:oddHBand="0" w:evenHBand="0" w:firstRowFirstColumn="0" w:firstRowLastColumn="0" w:lastRowFirstColumn="0" w:lastRowLastColumn="0"/>
              <w:rPr>
                <w:i/>
                <w:iCs/>
                <w:lang w:val="en-ID" w:bidi="fa-IR"/>
              </w:rPr>
            </w:pPr>
            <w:r w:rsidRPr="009518D0">
              <w:rPr>
                <w:i/>
                <w:iCs/>
                <w:lang w:val="en-ID" w:bidi="fa-IR"/>
              </w:rPr>
              <w:t>p-</w:t>
            </w:r>
            <w:r w:rsidRPr="009518D0">
              <w:rPr>
                <w:lang w:val="en-ID" w:bidi="fa-IR"/>
              </w:rPr>
              <w:t>value</w:t>
            </w:r>
          </w:p>
        </w:tc>
        <w:tc>
          <w:tcPr>
            <w:tcW w:w="1332" w:type="dxa"/>
            <w:tcBorders>
              <w:top w:val="single" w:sz="4" w:space="0" w:color="auto"/>
              <w:left w:val="nil"/>
              <w:bottom w:val="single" w:sz="4" w:space="0" w:color="auto"/>
              <w:right w:val="nil"/>
            </w:tcBorders>
            <w:vAlign w:val="center"/>
            <w:hideMark/>
          </w:tcPr>
          <w:p w14:paraId="30295E52" w14:textId="7DB03350" w:rsidR="009518D0" w:rsidRPr="009518D0" w:rsidRDefault="009518D0" w:rsidP="00B107AA">
            <w:pPr>
              <w:cnfStyle w:val="100000000000" w:firstRow="1" w:lastRow="0" w:firstColumn="0" w:lastColumn="0" w:oddVBand="0" w:evenVBand="0" w:oddHBand="0" w:evenHBand="0" w:firstRowFirstColumn="0" w:firstRowLastColumn="0" w:lastRowFirstColumn="0" w:lastRowLastColumn="0"/>
              <w:rPr>
                <w:lang w:val="en-ID" w:bidi="fa-IR"/>
              </w:rPr>
            </w:pPr>
            <w:r w:rsidRPr="009518D0">
              <w:rPr>
                <w:lang w:val="en-ID" w:bidi="fa-IR"/>
              </w:rPr>
              <w:t>Standardised estimate</w:t>
            </w:r>
          </w:p>
        </w:tc>
        <w:tc>
          <w:tcPr>
            <w:tcW w:w="1278" w:type="dxa"/>
            <w:tcBorders>
              <w:top w:val="single" w:sz="4" w:space="0" w:color="auto"/>
              <w:left w:val="nil"/>
              <w:bottom w:val="single" w:sz="4" w:space="0" w:color="auto"/>
              <w:right w:val="nil"/>
            </w:tcBorders>
            <w:vAlign w:val="center"/>
            <w:hideMark/>
          </w:tcPr>
          <w:p w14:paraId="3E144E20" w14:textId="557D2DC1" w:rsidR="009518D0" w:rsidRPr="009518D0" w:rsidRDefault="009518D0" w:rsidP="00B107AA">
            <w:pPr>
              <w:cnfStyle w:val="100000000000" w:firstRow="1" w:lastRow="0" w:firstColumn="0" w:lastColumn="0" w:oddVBand="0" w:evenVBand="0" w:oddHBand="0" w:evenHBand="0" w:firstRowFirstColumn="0" w:firstRowLastColumn="0" w:lastRowFirstColumn="0" w:lastRowLastColumn="0"/>
              <w:rPr>
                <w:lang w:val="en-ID" w:bidi="fa-IR"/>
              </w:rPr>
            </w:pPr>
            <w:r w:rsidRPr="009518D0">
              <w:rPr>
                <w:lang w:val="en-ID" w:bidi="fa-IR"/>
              </w:rPr>
              <w:t>Statistical inference</w:t>
            </w:r>
          </w:p>
        </w:tc>
      </w:tr>
      <w:tr w:rsidR="009518D0" w:rsidRPr="00B107AA" w14:paraId="53888E5D" w14:textId="77777777" w:rsidTr="00F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left w:val="nil"/>
              <w:bottom w:val="single" w:sz="4" w:space="0" w:color="auto"/>
              <w:right w:val="nil"/>
            </w:tcBorders>
            <w:shd w:val="clear" w:color="auto" w:fill="auto"/>
            <w:hideMark/>
          </w:tcPr>
          <w:p w14:paraId="7ABE0AB8" w14:textId="77777777" w:rsidR="009518D0" w:rsidRPr="00907386" w:rsidRDefault="009518D0" w:rsidP="00B107AA">
            <w:pPr>
              <w:rPr>
                <w:b w:val="0"/>
                <w:bCs w:val="0"/>
                <w:lang w:val="en-ID" w:bidi="fa-IR"/>
              </w:rPr>
            </w:pPr>
            <w:r w:rsidRPr="00907386">
              <w:rPr>
                <w:b w:val="0"/>
                <w:bCs w:val="0"/>
                <w:lang w:val="en-ID" w:bidi="fa-IR"/>
              </w:rPr>
              <w:t xml:space="preserve">Father’s Edu </w:t>
            </w:r>
            <w:r w:rsidRPr="00907386">
              <w:rPr>
                <w:b w:val="0"/>
                <w:bCs w:val="0"/>
                <w:lang w:bidi="fa-IR"/>
              </w:rPr>
              <w:sym w:font="Wingdings" w:char="F0E0"/>
            </w:r>
            <w:r w:rsidRPr="00907386">
              <w:rPr>
                <w:b w:val="0"/>
                <w:bCs w:val="0"/>
                <w:lang w:bidi="fa-IR"/>
              </w:rPr>
              <w:t xml:space="preserve"> </w:t>
            </w:r>
            <w:r w:rsidRPr="00907386">
              <w:rPr>
                <w:b w:val="0"/>
                <w:bCs w:val="0"/>
                <w:lang w:val="en-ID" w:bidi="fa-IR"/>
              </w:rPr>
              <w:t xml:space="preserve">Social Inclusion </w:t>
            </w:r>
          </w:p>
          <w:p w14:paraId="67AE3FE9" w14:textId="77777777" w:rsidR="009518D0" w:rsidRPr="00907386" w:rsidRDefault="009518D0" w:rsidP="00B107AA">
            <w:pPr>
              <w:rPr>
                <w:b w:val="0"/>
                <w:bCs w:val="0"/>
                <w:lang w:val="en-ID" w:bidi="fa-IR"/>
              </w:rPr>
            </w:pPr>
            <w:r w:rsidRPr="00907386">
              <w:rPr>
                <w:b w:val="0"/>
                <w:bCs w:val="0"/>
                <w:lang w:val="en-ID" w:bidi="fa-IR"/>
              </w:rPr>
              <w:t xml:space="preserve">Mother’s Edu </w:t>
            </w:r>
            <w:r w:rsidRPr="00907386">
              <w:rPr>
                <w:b w:val="0"/>
                <w:bCs w:val="0"/>
                <w:lang w:bidi="fa-IR"/>
              </w:rPr>
              <w:sym w:font="Wingdings" w:char="F0E0"/>
            </w:r>
            <w:r w:rsidRPr="00907386">
              <w:rPr>
                <w:b w:val="0"/>
                <w:bCs w:val="0"/>
                <w:lang w:bidi="fa-IR"/>
              </w:rPr>
              <w:t xml:space="preserve"> </w:t>
            </w:r>
            <w:r w:rsidRPr="00907386">
              <w:rPr>
                <w:b w:val="0"/>
                <w:bCs w:val="0"/>
                <w:lang w:val="en-ID" w:bidi="fa-IR"/>
              </w:rPr>
              <w:t xml:space="preserve">Social Inclusion </w:t>
            </w:r>
          </w:p>
          <w:p w14:paraId="22D6AC48" w14:textId="77777777" w:rsidR="009518D0" w:rsidRPr="00907386" w:rsidRDefault="009518D0" w:rsidP="00B107AA">
            <w:pPr>
              <w:rPr>
                <w:b w:val="0"/>
                <w:bCs w:val="0"/>
                <w:lang w:val="en-ID" w:bidi="fa-IR"/>
              </w:rPr>
            </w:pPr>
            <w:r w:rsidRPr="00907386">
              <w:rPr>
                <w:b w:val="0"/>
                <w:bCs w:val="0"/>
                <w:lang w:val="en-ID" w:bidi="fa-IR"/>
              </w:rPr>
              <w:t xml:space="preserve">Region of Origin </w:t>
            </w:r>
            <w:r w:rsidRPr="00907386">
              <w:rPr>
                <w:b w:val="0"/>
                <w:bCs w:val="0"/>
                <w:lang w:bidi="fa-IR"/>
              </w:rPr>
              <w:sym w:font="Wingdings" w:char="F0E0"/>
            </w:r>
            <w:r w:rsidRPr="00907386">
              <w:rPr>
                <w:b w:val="0"/>
                <w:bCs w:val="0"/>
                <w:lang w:bidi="fa-IR"/>
              </w:rPr>
              <w:t xml:space="preserve"> </w:t>
            </w:r>
            <w:r w:rsidRPr="00907386">
              <w:rPr>
                <w:b w:val="0"/>
                <w:bCs w:val="0"/>
                <w:lang w:val="en-ID" w:bidi="fa-IR"/>
              </w:rPr>
              <w:t xml:space="preserve">Social Inclusion </w:t>
            </w:r>
          </w:p>
          <w:p w14:paraId="209C0972" w14:textId="77777777" w:rsidR="009518D0" w:rsidRPr="00907386" w:rsidRDefault="009518D0" w:rsidP="00B107AA">
            <w:pPr>
              <w:rPr>
                <w:b w:val="0"/>
                <w:bCs w:val="0"/>
                <w:lang w:val="en-ID" w:bidi="fa-IR"/>
              </w:rPr>
            </w:pPr>
            <w:r w:rsidRPr="00907386">
              <w:rPr>
                <w:b w:val="0"/>
                <w:bCs w:val="0"/>
                <w:lang w:val="en-ID" w:bidi="fa-IR"/>
              </w:rPr>
              <w:t xml:space="preserve">Distance </w:t>
            </w:r>
            <w:r w:rsidRPr="00907386">
              <w:rPr>
                <w:b w:val="0"/>
                <w:bCs w:val="0"/>
                <w:lang w:bidi="fa-IR"/>
              </w:rPr>
              <w:sym w:font="Wingdings" w:char="F0E0"/>
            </w:r>
            <w:r w:rsidRPr="00907386">
              <w:rPr>
                <w:b w:val="0"/>
                <w:bCs w:val="0"/>
                <w:lang w:bidi="fa-IR"/>
              </w:rPr>
              <w:t xml:space="preserve"> </w:t>
            </w:r>
            <w:r w:rsidRPr="00907386">
              <w:rPr>
                <w:b w:val="0"/>
                <w:bCs w:val="0"/>
                <w:lang w:val="en-ID" w:bidi="fa-IR"/>
              </w:rPr>
              <w:t xml:space="preserve">Social Inclusion </w:t>
            </w:r>
          </w:p>
          <w:p w14:paraId="1D23123D" w14:textId="77777777" w:rsidR="009518D0" w:rsidRPr="00907386" w:rsidRDefault="009518D0" w:rsidP="00B107AA">
            <w:pPr>
              <w:rPr>
                <w:b w:val="0"/>
                <w:bCs w:val="0"/>
                <w:lang w:val="en-ID" w:bidi="fa-IR"/>
              </w:rPr>
            </w:pPr>
            <w:r w:rsidRPr="00907386">
              <w:rPr>
                <w:b w:val="0"/>
                <w:bCs w:val="0"/>
                <w:lang w:val="en-ID" w:bidi="fa-IR"/>
              </w:rPr>
              <w:t xml:space="preserve">Living Arrange </w:t>
            </w:r>
            <w:r w:rsidRPr="00907386">
              <w:rPr>
                <w:b w:val="0"/>
                <w:bCs w:val="0"/>
                <w:lang w:bidi="fa-IR"/>
              </w:rPr>
              <w:sym w:font="Wingdings" w:char="F0E0"/>
            </w:r>
            <w:r w:rsidRPr="00907386">
              <w:rPr>
                <w:b w:val="0"/>
                <w:bCs w:val="0"/>
                <w:lang w:bidi="fa-IR"/>
              </w:rPr>
              <w:t xml:space="preserve"> Social Inclusion</w:t>
            </w:r>
          </w:p>
          <w:p w14:paraId="657F6DFF" w14:textId="77777777" w:rsidR="009518D0" w:rsidRPr="00907386" w:rsidRDefault="009518D0" w:rsidP="00B107AA">
            <w:pPr>
              <w:rPr>
                <w:b w:val="0"/>
                <w:bCs w:val="0"/>
                <w:lang w:val="en-ID" w:bidi="fa-IR"/>
              </w:rPr>
            </w:pPr>
            <w:r w:rsidRPr="00907386">
              <w:rPr>
                <w:b w:val="0"/>
                <w:bCs w:val="0"/>
                <w:lang w:val="en-ID" w:bidi="fa-IR"/>
              </w:rPr>
              <w:t xml:space="preserve">Father’s Edu </w:t>
            </w:r>
            <w:r w:rsidRPr="00907386">
              <w:rPr>
                <w:b w:val="0"/>
                <w:bCs w:val="0"/>
                <w:lang w:bidi="fa-IR"/>
              </w:rPr>
              <w:sym w:font="Wingdings" w:char="F0E0"/>
            </w:r>
            <w:r w:rsidRPr="00907386">
              <w:rPr>
                <w:b w:val="0"/>
                <w:bCs w:val="0"/>
                <w:lang w:bidi="fa-IR"/>
              </w:rPr>
              <w:t xml:space="preserve"> </w:t>
            </w:r>
            <w:r w:rsidRPr="00907386">
              <w:rPr>
                <w:b w:val="0"/>
                <w:bCs w:val="0"/>
                <w:lang w:val="en-ID" w:bidi="fa-IR"/>
              </w:rPr>
              <w:t>Social Exclusion</w:t>
            </w:r>
          </w:p>
          <w:p w14:paraId="64ABC68C" w14:textId="77777777" w:rsidR="009518D0" w:rsidRPr="00907386" w:rsidRDefault="009518D0" w:rsidP="00B107AA">
            <w:pPr>
              <w:rPr>
                <w:b w:val="0"/>
                <w:bCs w:val="0"/>
                <w:lang w:val="en-ID" w:bidi="fa-IR"/>
              </w:rPr>
            </w:pPr>
            <w:r w:rsidRPr="00907386">
              <w:rPr>
                <w:b w:val="0"/>
                <w:bCs w:val="0"/>
                <w:lang w:val="en-ID" w:bidi="fa-IR"/>
              </w:rPr>
              <w:t xml:space="preserve">Mother’s Edu </w:t>
            </w:r>
            <w:r w:rsidRPr="00907386">
              <w:rPr>
                <w:b w:val="0"/>
                <w:bCs w:val="0"/>
                <w:lang w:bidi="fa-IR"/>
              </w:rPr>
              <w:sym w:font="Wingdings" w:char="F0E0"/>
            </w:r>
            <w:r w:rsidRPr="00907386">
              <w:rPr>
                <w:b w:val="0"/>
                <w:bCs w:val="0"/>
                <w:lang w:bidi="fa-IR"/>
              </w:rPr>
              <w:t xml:space="preserve"> </w:t>
            </w:r>
            <w:r w:rsidRPr="00907386">
              <w:rPr>
                <w:b w:val="0"/>
                <w:bCs w:val="0"/>
                <w:lang w:val="en-ID" w:bidi="fa-IR"/>
              </w:rPr>
              <w:t>Social Exclusion</w:t>
            </w:r>
          </w:p>
          <w:p w14:paraId="2CECCCD1" w14:textId="77777777" w:rsidR="009518D0" w:rsidRPr="00907386" w:rsidRDefault="009518D0" w:rsidP="00B107AA">
            <w:pPr>
              <w:rPr>
                <w:b w:val="0"/>
                <w:bCs w:val="0"/>
                <w:lang w:val="en-ID" w:bidi="fa-IR"/>
              </w:rPr>
            </w:pPr>
            <w:r w:rsidRPr="00907386">
              <w:rPr>
                <w:b w:val="0"/>
                <w:bCs w:val="0"/>
                <w:lang w:val="en-ID" w:bidi="fa-IR"/>
              </w:rPr>
              <w:t xml:space="preserve">Region of Origin </w:t>
            </w:r>
            <w:r w:rsidRPr="00907386">
              <w:rPr>
                <w:b w:val="0"/>
                <w:bCs w:val="0"/>
                <w:lang w:bidi="fa-IR"/>
              </w:rPr>
              <w:sym w:font="Wingdings" w:char="F0E0"/>
            </w:r>
            <w:r w:rsidRPr="00907386">
              <w:rPr>
                <w:b w:val="0"/>
                <w:bCs w:val="0"/>
                <w:lang w:bidi="fa-IR"/>
              </w:rPr>
              <w:t xml:space="preserve"> </w:t>
            </w:r>
            <w:r w:rsidRPr="00907386">
              <w:rPr>
                <w:b w:val="0"/>
                <w:bCs w:val="0"/>
                <w:lang w:val="en-ID" w:bidi="fa-IR"/>
              </w:rPr>
              <w:t>Social Exclusion</w:t>
            </w:r>
          </w:p>
          <w:p w14:paraId="137A2D3E" w14:textId="77777777" w:rsidR="009518D0" w:rsidRPr="00907386" w:rsidRDefault="009518D0" w:rsidP="00B107AA">
            <w:pPr>
              <w:rPr>
                <w:b w:val="0"/>
                <w:bCs w:val="0"/>
                <w:lang w:val="en-ID" w:bidi="fa-IR"/>
              </w:rPr>
            </w:pPr>
            <w:r w:rsidRPr="00907386">
              <w:rPr>
                <w:b w:val="0"/>
                <w:bCs w:val="0"/>
                <w:lang w:val="en-ID" w:bidi="fa-IR"/>
              </w:rPr>
              <w:t xml:space="preserve">Distance </w:t>
            </w:r>
            <w:r w:rsidRPr="00907386">
              <w:rPr>
                <w:b w:val="0"/>
                <w:bCs w:val="0"/>
                <w:lang w:bidi="fa-IR"/>
              </w:rPr>
              <w:sym w:font="Wingdings" w:char="F0E0"/>
            </w:r>
            <w:r w:rsidRPr="00907386">
              <w:rPr>
                <w:b w:val="0"/>
                <w:bCs w:val="0"/>
                <w:lang w:bidi="fa-IR"/>
              </w:rPr>
              <w:t xml:space="preserve"> </w:t>
            </w:r>
            <w:r w:rsidRPr="00907386">
              <w:rPr>
                <w:b w:val="0"/>
                <w:bCs w:val="0"/>
                <w:lang w:val="en-ID" w:bidi="fa-IR"/>
              </w:rPr>
              <w:t>Social Exclusion</w:t>
            </w:r>
          </w:p>
          <w:p w14:paraId="512669A8" w14:textId="77777777" w:rsidR="009518D0" w:rsidRPr="00907386" w:rsidRDefault="009518D0" w:rsidP="00B107AA">
            <w:pPr>
              <w:rPr>
                <w:lang w:val="en-ID" w:bidi="fa-IR"/>
              </w:rPr>
            </w:pPr>
            <w:r w:rsidRPr="00907386">
              <w:rPr>
                <w:b w:val="0"/>
                <w:bCs w:val="0"/>
                <w:lang w:val="en-ID" w:bidi="fa-IR"/>
              </w:rPr>
              <w:t xml:space="preserve">Living Arrange </w:t>
            </w:r>
            <w:r w:rsidRPr="00907386">
              <w:rPr>
                <w:b w:val="0"/>
                <w:bCs w:val="0"/>
                <w:lang w:bidi="fa-IR"/>
              </w:rPr>
              <w:sym w:font="Wingdings" w:char="F0E0"/>
            </w:r>
            <w:r w:rsidRPr="00907386">
              <w:rPr>
                <w:b w:val="0"/>
                <w:bCs w:val="0"/>
                <w:lang w:bidi="fa-IR"/>
              </w:rPr>
              <w:t xml:space="preserve"> </w:t>
            </w:r>
            <w:r w:rsidRPr="00907386">
              <w:rPr>
                <w:b w:val="0"/>
                <w:bCs w:val="0"/>
                <w:lang w:val="en-ID" w:bidi="fa-IR"/>
              </w:rPr>
              <w:t>Social Exclusion</w:t>
            </w:r>
          </w:p>
        </w:tc>
        <w:tc>
          <w:tcPr>
            <w:tcW w:w="1278" w:type="dxa"/>
            <w:tcBorders>
              <w:top w:val="single" w:sz="4" w:space="0" w:color="auto"/>
              <w:left w:val="nil"/>
              <w:bottom w:val="single" w:sz="4" w:space="0" w:color="auto"/>
              <w:right w:val="nil"/>
            </w:tcBorders>
            <w:shd w:val="clear" w:color="auto" w:fill="auto"/>
            <w:hideMark/>
          </w:tcPr>
          <w:p w14:paraId="06A6DAA7"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0.019</w:t>
            </w:r>
          </w:p>
          <w:p w14:paraId="4A1EF117"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0.019</w:t>
            </w:r>
          </w:p>
          <w:p w14:paraId="2013D094"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0.026</w:t>
            </w:r>
          </w:p>
          <w:p w14:paraId="333593B6"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0.011</w:t>
            </w:r>
          </w:p>
          <w:p w14:paraId="29706DB5"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0.030</w:t>
            </w:r>
          </w:p>
          <w:p w14:paraId="592D8242"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0.033</w:t>
            </w:r>
          </w:p>
          <w:p w14:paraId="41EAFF15"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0.033</w:t>
            </w:r>
          </w:p>
          <w:p w14:paraId="6F48B20D"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0.044</w:t>
            </w:r>
          </w:p>
          <w:p w14:paraId="52E38C5D"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0.019</w:t>
            </w:r>
          </w:p>
          <w:p w14:paraId="7E8CBE7F"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0.053</w:t>
            </w:r>
          </w:p>
        </w:tc>
        <w:tc>
          <w:tcPr>
            <w:tcW w:w="1278" w:type="dxa"/>
            <w:tcBorders>
              <w:top w:val="single" w:sz="4" w:space="0" w:color="auto"/>
              <w:left w:val="nil"/>
              <w:bottom w:val="single" w:sz="4" w:space="0" w:color="auto"/>
              <w:right w:val="nil"/>
            </w:tcBorders>
            <w:shd w:val="clear" w:color="auto" w:fill="auto"/>
            <w:hideMark/>
          </w:tcPr>
          <w:p w14:paraId="787511DC"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-0.202</w:t>
            </w:r>
          </w:p>
          <w:p w14:paraId="3E3B0B59"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-0.288</w:t>
            </w:r>
          </w:p>
          <w:p w14:paraId="7A2F3ADB"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-2.841</w:t>
            </w:r>
          </w:p>
          <w:p w14:paraId="00F1E87C"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-2.418</w:t>
            </w:r>
          </w:p>
          <w:p w14:paraId="5B709983"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-0.300</w:t>
            </w:r>
          </w:p>
          <w:p w14:paraId="09BE26D6"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-1.550</w:t>
            </w:r>
          </w:p>
          <w:p w14:paraId="5EE4A26D"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1.213</w:t>
            </w:r>
          </w:p>
          <w:p w14:paraId="043822C4"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2.132</w:t>
            </w:r>
          </w:p>
          <w:p w14:paraId="789A73A5"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1.855</w:t>
            </w:r>
          </w:p>
          <w:p w14:paraId="585374DB"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0.629</w:t>
            </w:r>
          </w:p>
        </w:tc>
        <w:tc>
          <w:tcPr>
            <w:tcW w:w="1224" w:type="dxa"/>
            <w:tcBorders>
              <w:top w:val="single" w:sz="4" w:space="0" w:color="auto"/>
              <w:left w:val="nil"/>
              <w:bottom w:val="single" w:sz="4" w:space="0" w:color="auto"/>
              <w:right w:val="nil"/>
            </w:tcBorders>
            <w:shd w:val="clear" w:color="auto" w:fill="auto"/>
            <w:hideMark/>
          </w:tcPr>
          <w:p w14:paraId="14B6CF67"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0.840</w:t>
            </w:r>
          </w:p>
          <w:p w14:paraId="443F4DBA"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0.773</w:t>
            </w:r>
          </w:p>
          <w:p w14:paraId="4B95B1F6"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b/>
                <w:bCs/>
                <w:lang w:val="en-ID" w:bidi="fa-IR"/>
              </w:rPr>
            </w:pPr>
            <w:r w:rsidRPr="00907386">
              <w:rPr>
                <w:b/>
                <w:bCs/>
                <w:lang w:val="en-ID" w:bidi="fa-IR"/>
              </w:rPr>
              <w:t>0.004</w:t>
            </w:r>
          </w:p>
          <w:p w14:paraId="48D8F898"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b/>
                <w:bCs/>
                <w:lang w:val="en-ID" w:bidi="fa-IR"/>
              </w:rPr>
            </w:pPr>
            <w:r w:rsidRPr="00907386">
              <w:rPr>
                <w:b/>
                <w:bCs/>
                <w:lang w:val="en-ID" w:bidi="fa-IR"/>
              </w:rPr>
              <w:t>0.016</w:t>
            </w:r>
          </w:p>
          <w:p w14:paraId="46C5AAF9"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0.764</w:t>
            </w:r>
          </w:p>
          <w:p w14:paraId="283CDE70"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0.121</w:t>
            </w:r>
          </w:p>
          <w:p w14:paraId="422E2935"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0.225</w:t>
            </w:r>
          </w:p>
          <w:p w14:paraId="7FEFAAC5"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b/>
                <w:bCs/>
                <w:lang w:val="en-ID" w:bidi="fa-IR"/>
              </w:rPr>
            </w:pPr>
            <w:r w:rsidRPr="00907386">
              <w:rPr>
                <w:b/>
                <w:bCs/>
                <w:lang w:val="en-ID" w:bidi="fa-IR"/>
              </w:rPr>
              <w:t>0.033</w:t>
            </w:r>
          </w:p>
          <w:p w14:paraId="28774393"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0.064</w:t>
            </w:r>
          </w:p>
          <w:p w14:paraId="0268298F"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0.529</w:t>
            </w:r>
          </w:p>
        </w:tc>
        <w:tc>
          <w:tcPr>
            <w:tcW w:w="1332" w:type="dxa"/>
            <w:tcBorders>
              <w:top w:val="single" w:sz="4" w:space="0" w:color="auto"/>
              <w:left w:val="nil"/>
              <w:bottom w:val="single" w:sz="4" w:space="0" w:color="auto"/>
              <w:right w:val="nil"/>
            </w:tcBorders>
            <w:shd w:val="clear" w:color="auto" w:fill="auto"/>
            <w:hideMark/>
          </w:tcPr>
          <w:p w14:paraId="710F0D8A"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-0.014</w:t>
            </w:r>
          </w:p>
          <w:p w14:paraId="698768FC"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-0.020</w:t>
            </w:r>
          </w:p>
          <w:p w14:paraId="0AD37413"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-0.225</w:t>
            </w:r>
          </w:p>
          <w:p w14:paraId="6D18BF49"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-0.177</w:t>
            </w:r>
          </w:p>
          <w:p w14:paraId="696F512C"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-0.021</w:t>
            </w:r>
          </w:p>
          <w:p w14:paraId="6E89F659"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-0.101</w:t>
            </w:r>
          </w:p>
          <w:p w14:paraId="3DBCADB7"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0.079</w:t>
            </w:r>
          </w:p>
          <w:p w14:paraId="0A612937"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0.155</w:t>
            </w:r>
          </w:p>
          <w:p w14:paraId="4C76CD64"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0.126</w:t>
            </w:r>
          </w:p>
          <w:p w14:paraId="04B247D4"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0.041</w:t>
            </w:r>
          </w:p>
        </w:tc>
        <w:tc>
          <w:tcPr>
            <w:tcW w:w="1278" w:type="dxa"/>
            <w:tcBorders>
              <w:top w:val="single" w:sz="4" w:space="0" w:color="auto"/>
              <w:left w:val="nil"/>
              <w:bottom w:val="single" w:sz="4" w:space="0" w:color="auto"/>
              <w:right w:val="nil"/>
            </w:tcBorders>
            <w:shd w:val="clear" w:color="auto" w:fill="auto"/>
            <w:hideMark/>
          </w:tcPr>
          <w:p w14:paraId="467A42F8"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Not sig</w:t>
            </w:r>
          </w:p>
          <w:p w14:paraId="5B67EB59"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Not sig</w:t>
            </w:r>
          </w:p>
          <w:p w14:paraId="3CBCAB92"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Sig</w:t>
            </w:r>
          </w:p>
          <w:p w14:paraId="2D0ECBA5"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Sig</w:t>
            </w:r>
          </w:p>
          <w:p w14:paraId="2BA736FC"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Not sig</w:t>
            </w:r>
          </w:p>
          <w:p w14:paraId="48F5244F"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Not sig</w:t>
            </w:r>
          </w:p>
          <w:p w14:paraId="7F7EBE77"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Not sig</w:t>
            </w:r>
          </w:p>
          <w:p w14:paraId="3C5DDE48"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Sig</w:t>
            </w:r>
          </w:p>
          <w:p w14:paraId="78253E27"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Not sig</w:t>
            </w:r>
          </w:p>
          <w:p w14:paraId="47CE61BE" w14:textId="77777777" w:rsidR="009518D0" w:rsidRPr="00907386" w:rsidRDefault="009518D0" w:rsidP="00B107AA">
            <w:pPr>
              <w:cnfStyle w:val="000000100000" w:firstRow="0" w:lastRow="0" w:firstColumn="0" w:lastColumn="0" w:oddVBand="0" w:evenVBand="0" w:oddHBand="1" w:evenHBand="0" w:firstRowFirstColumn="0" w:firstRowLastColumn="0" w:lastRowFirstColumn="0" w:lastRowLastColumn="0"/>
              <w:rPr>
                <w:lang w:val="en-ID" w:bidi="fa-IR"/>
              </w:rPr>
            </w:pPr>
            <w:r w:rsidRPr="00907386">
              <w:rPr>
                <w:lang w:val="en-ID" w:bidi="fa-IR"/>
              </w:rPr>
              <w:t>Not sig</w:t>
            </w:r>
          </w:p>
        </w:tc>
      </w:tr>
    </w:tbl>
    <w:p w14:paraId="6242D9BE" w14:textId="04F09A4F" w:rsidR="00B107AA" w:rsidRPr="00F324F7" w:rsidRDefault="00B107AA" w:rsidP="00F324F7">
      <w:pPr>
        <w:pStyle w:val="JANZSSAHeading1"/>
        <w:rPr>
          <w:lang w:val="en-ID" w:bidi="fa-IR"/>
        </w:rPr>
      </w:pPr>
      <w:r w:rsidRPr="00B107AA">
        <w:rPr>
          <w:lang w:val="en-ID" w:bidi="fa-IR"/>
        </w:rPr>
        <w:t>Discussion</w:t>
      </w:r>
    </w:p>
    <w:p w14:paraId="053EA1BE" w14:textId="59E36D9A" w:rsidR="00B107AA" w:rsidRPr="00B107AA" w:rsidRDefault="00B107AA" w:rsidP="00F324F7">
      <w:pPr>
        <w:pStyle w:val="JANZSSABodycopy"/>
        <w:rPr>
          <w:lang w:val="en-ID"/>
        </w:rPr>
      </w:pPr>
      <w:r w:rsidRPr="00B107AA">
        <w:rPr>
          <w:lang w:val="en-ID"/>
        </w:rPr>
        <w:t xml:space="preserve">The findings of this study indicate that students' region of origin significantly influences college belongingness, affecting both the dimensions of social inclusion and social exclusion. The analysis </w:t>
      </w:r>
      <w:r w:rsidRPr="00B107AA">
        <w:rPr>
          <w:lang w:val="en-ID"/>
        </w:rPr>
        <w:lastRenderedPageBreak/>
        <w:t>found a negative correlation between the region of origin and social inclusion. These findings suggest that students from the same area as the campus location tend to feel more accepted and involved in the campus environment, enhancing their overall sense of college belongingness. This result is consistent with the social exclusion dimension, where students from regions farther from the campus tend to experience higher feelings of alienation within the university environment, ultimately leading to a lower level of college belongingness.</w:t>
      </w:r>
    </w:p>
    <w:p w14:paraId="0FE2C276" w14:textId="34B3DE9D" w:rsidR="00B107AA" w:rsidRPr="00B107AA" w:rsidRDefault="00B107AA" w:rsidP="00F324F7">
      <w:pPr>
        <w:pStyle w:val="JANZSSABodycopy"/>
        <w:rPr>
          <w:lang w:val="en-ID"/>
        </w:rPr>
      </w:pPr>
      <w:r w:rsidRPr="00B107AA">
        <w:rPr>
          <w:lang w:val="en-ID"/>
        </w:rPr>
        <w:t>Students from the same region as the campus are more likely to feel valued or recogni</w:t>
      </w:r>
      <w:r w:rsidR="00C843B8">
        <w:rPr>
          <w:lang w:val="en-ID"/>
        </w:rPr>
        <w:t>s</w:t>
      </w:r>
      <w:r w:rsidRPr="00B107AA">
        <w:rPr>
          <w:lang w:val="en-ID"/>
        </w:rPr>
        <w:t>ed due to shared cultural and linguistic backgrounds (cultural congruence). Shared cultural and local language backgrounds can accelerate students' adaptation process, reducing communication barriers and feelings of incompatibility with people on campus. These shared backgrounds contribute to a higher sense of college belonging among local students compared to those from regions farther away from the campus. This view aligns with Hurtado and Carter's (1997) notion of cognitive mapping related to students' sense of belonging. It emphasi</w:t>
      </w:r>
      <w:r w:rsidR="00C843B8">
        <w:rPr>
          <w:lang w:val="en-ID"/>
        </w:rPr>
        <w:t>s</w:t>
      </w:r>
      <w:r w:rsidRPr="00B107AA">
        <w:rPr>
          <w:lang w:val="en-ID"/>
        </w:rPr>
        <w:t xml:space="preserve">es the importance of students' initial geographic orientation to the campus in fostering their college belongingness. Supporting this, Heinisch's (2018) qualitative study demonstrated that students from rural areas face greater challenges in developing a sense of belonging </w:t>
      </w:r>
      <w:r w:rsidR="003015E5">
        <w:rPr>
          <w:lang w:val="en-ID"/>
        </w:rPr>
        <w:t xml:space="preserve">on </w:t>
      </w:r>
      <w:r w:rsidRPr="00B107AA">
        <w:rPr>
          <w:lang w:val="en-ID"/>
        </w:rPr>
        <w:t>urban campuses.</w:t>
      </w:r>
    </w:p>
    <w:p w14:paraId="166A1F5C" w14:textId="64499956" w:rsidR="00B107AA" w:rsidRPr="00B107AA" w:rsidRDefault="00B107AA" w:rsidP="00F324F7">
      <w:pPr>
        <w:pStyle w:val="JANZSSABodycopy"/>
        <w:rPr>
          <w:lang w:val="en-ID"/>
        </w:rPr>
      </w:pPr>
      <w:r w:rsidRPr="00B107AA">
        <w:rPr>
          <w:lang w:val="en-ID"/>
        </w:rPr>
        <w:t>Furthermore, place attachment theory explains that individuals with positive emotional and geographic bonds to a familiar place are likelier to experience a sense of belonging there (Altman &amp; Low, 1992; Brown et al., 2011). This theory suggests that students from the same region as the campus may have already established emotional attachments to that location before entering university. Such emotional bonds facilitate the internali</w:t>
      </w:r>
      <w:r w:rsidR="00C843B8">
        <w:rPr>
          <w:lang w:val="en-ID"/>
        </w:rPr>
        <w:t>s</w:t>
      </w:r>
      <w:r w:rsidRPr="00B107AA">
        <w:rPr>
          <w:lang w:val="en-ID"/>
        </w:rPr>
        <w:t xml:space="preserve">ation of campus social identity as part of the self. Although the population differs, Millán-franco et al. (2019) found evidence of place attachment among long-term immigrants living in Spain. Immigrants from Asia, Africa, Eastern Europe, and Latin America who had lived in Spain for an extended period showed increased social inclusion </w:t>
      </w:r>
      <w:proofErr w:type="gramStart"/>
      <w:r w:rsidRPr="00B107AA">
        <w:rPr>
          <w:lang w:val="en-ID"/>
        </w:rPr>
        <w:t>as a result of</w:t>
      </w:r>
      <w:proofErr w:type="gramEnd"/>
      <w:r w:rsidRPr="00B107AA">
        <w:rPr>
          <w:lang w:val="en-ID"/>
        </w:rPr>
        <w:t xml:space="preserve"> their accumulated attachment to place. Ultimately, this study supports place attachment theory, in which long-term residence in a particular setting can foster a sense of attachment that, in turn, enhances social inclusion.</w:t>
      </w:r>
    </w:p>
    <w:p w14:paraId="0041DAF3" w14:textId="2251F608" w:rsidR="00B107AA" w:rsidRPr="00B107AA" w:rsidRDefault="00B107AA" w:rsidP="00F324F7">
      <w:pPr>
        <w:pStyle w:val="JANZSSABodycopy"/>
        <w:rPr>
          <w:lang w:val="en-ID"/>
        </w:rPr>
      </w:pPr>
      <w:r w:rsidRPr="00B107AA">
        <w:rPr>
          <w:lang w:val="en-ID"/>
        </w:rPr>
        <w:t xml:space="preserve">On the other hand, students from outside the local area may experience social or cultural minority status, especially if their language, lifestyle, or social norms differ from those of the local majority. These regional identity differences can create social distance and feelings of being an "outsider" for non-local students. This condition complicates social integration and increases the risk of social exclusion, ultimately weakening their college belongingness. This opinion aligns with Crawford and McKenzie's (2023) findings, which indicate that students from regional and remote areas in Australia often face challenges in belonging </w:t>
      </w:r>
      <w:r w:rsidR="002741B9">
        <w:rPr>
          <w:lang w:val="en-ID"/>
        </w:rPr>
        <w:t xml:space="preserve">at </w:t>
      </w:r>
      <w:r w:rsidRPr="00B107AA">
        <w:rPr>
          <w:lang w:val="en-ID"/>
        </w:rPr>
        <w:t>their universities due to geographic and cultural differences from their home regions.</w:t>
      </w:r>
    </w:p>
    <w:p w14:paraId="4E90D2AD" w14:textId="7AFD2FAB" w:rsidR="00B107AA" w:rsidRPr="00B107AA" w:rsidRDefault="00B107AA" w:rsidP="00F324F7">
      <w:pPr>
        <w:pStyle w:val="JANZSSABodycopy"/>
        <w:rPr>
          <w:lang w:val="en-ID"/>
        </w:rPr>
      </w:pPr>
      <w:r w:rsidRPr="00B107AA">
        <w:rPr>
          <w:lang w:val="en-ID"/>
        </w:rPr>
        <w:t xml:space="preserve">Another study finding shows that the distance between students' residences and the campus affects social inclusion. Specifically, the closer students live to the campus, the stronger their sense of belonging </w:t>
      </w:r>
      <w:r w:rsidR="002741B9">
        <w:rPr>
          <w:lang w:val="en-ID"/>
        </w:rPr>
        <w:t xml:space="preserve">at </w:t>
      </w:r>
      <w:r w:rsidRPr="00B107AA">
        <w:rPr>
          <w:lang w:val="en-ID"/>
        </w:rPr>
        <w:t xml:space="preserve">the university. A negative correlation between residential distance and social inclusion </w:t>
      </w:r>
      <w:proofErr w:type="gramStart"/>
      <w:r w:rsidRPr="00B107AA">
        <w:rPr>
          <w:lang w:val="en-ID"/>
        </w:rPr>
        <w:t>evidences</w:t>
      </w:r>
      <w:proofErr w:type="gramEnd"/>
      <w:r w:rsidRPr="00B107AA">
        <w:rPr>
          <w:lang w:val="en-ID"/>
        </w:rPr>
        <w:t xml:space="preserve"> this. A plausible explanation is that students living closer to campus have easier access to academic and non-academic activities, such as extracurriculars</w:t>
      </w:r>
      <w:r w:rsidR="009536F6">
        <w:rPr>
          <w:lang w:val="en-ID"/>
        </w:rPr>
        <w:t>;</w:t>
      </w:r>
      <w:r w:rsidRPr="00B107AA">
        <w:rPr>
          <w:lang w:val="en-ID"/>
        </w:rPr>
        <w:t xml:space="preserve"> student organi</w:t>
      </w:r>
      <w:r w:rsidR="00C843B8">
        <w:rPr>
          <w:lang w:val="en-ID"/>
        </w:rPr>
        <w:t>s</w:t>
      </w:r>
      <w:r w:rsidRPr="00B107AA">
        <w:rPr>
          <w:lang w:val="en-ID"/>
        </w:rPr>
        <w:t>ations</w:t>
      </w:r>
      <w:r w:rsidR="009536F6">
        <w:rPr>
          <w:lang w:val="en-ID"/>
        </w:rPr>
        <w:t>;</w:t>
      </w:r>
      <w:r w:rsidRPr="00B107AA">
        <w:rPr>
          <w:lang w:val="en-ID"/>
        </w:rPr>
        <w:t xml:space="preserve"> and informal campus spaces like cafeterias, libraries, and gardens. Such accessibility enables students to be physically present on campus more frequently and engage in various social activities, fostering acceptance, involvement, and community membership (Pinto et al., 2024; </w:t>
      </w:r>
      <w:proofErr w:type="spellStart"/>
      <w:r w:rsidRPr="00B107AA">
        <w:rPr>
          <w:lang w:val="en-ID"/>
        </w:rPr>
        <w:t>Sedaghatnia</w:t>
      </w:r>
      <w:proofErr w:type="spellEnd"/>
      <w:r w:rsidRPr="00B107AA">
        <w:rPr>
          <w:lang w:val="en-ID"/>
        </w:rPr>
        <w:t xml:space="preserve"> et al., 2015).</w:t>
      </w:r>
    </w:p>
    <w:p w14:paraId="047F492C" w14:textId="5374E585" w:rsidR="00B107AA" w:rsidRPr="00B107AA" w:rsidRDefault="00B107AA" w:rsidP="00F324F7">
      <w:pPr>
        <w:pStyle w:val="JANZSSABodycopy"/>
        <w:rPr>
          <w:lang w:val="en-ID"/>
        </w:rPr>
      </w:pPr>
      <w:r w:rsidRPr="00B107AA">
        <w:rPr>
          <w:lang w:val="en-ID"/>
        </w:rPr>
        <w:t>Furthermore, according to Putnam's social capital theory (</w:t>
      </w:r>
      <w:proofErr w:type="spellStart"/>
      <w:r w:rsidRPr="00B107AA">
        <w:rPr>
          <w:lang w:val="en-ID"/>
        </w:rPr>
        <w:t>Häuberer</w:t>
      </w:r>
      <w:proofErr w:type="spellEnd"/>
      <w:r w:rsidRPr="00B107AA">
        <w:rPr>
          <w:lang w:val="en-ID"/>
        </w:rPr>
        <w:t xml:space="preserve">, 2011), geographic proximity as a form of social capital facilitates more frequent social interactions, contributing to the formation of stronger social networks and active participation. The more often students interact within the campus environment, the more their sense of attachment grows (Strayhorn, 2019). Therefore, </w:t>
      </w:r>
      <w:r w:rsidRPr="00B107AA">
        <w:rPr>
          <w:lang w:val="en-ID"/>
        </w:rPr>
        <w:lastRenderedPageBreak/>
        <w:t>students residing closer to campus have more opportunities to form micro-interactions, such as spontaneous peer greetings, informal invitations to join discussions, or brief conversations with lecturers. Collectively, these interactions build feelings of being valued and included within the academic community (social inclusion).</w:t>
      </w:r>
    </w:p>
    <w:p w14:paraId="4449455C" w14:textId="23000963" w:rsidR="00B107AA" w:rsidRPr="00B107AA" w:rsidRDefault="00B107AA" w:rsidP="00F324F7">
      <w:pPr>
        <w:pStyle w:val="JANZSSABodycopy"/>
        <w:rPr>
          <w:lang w:val="en-ID"/>
        </w:rPr>
      </w:pPr>
      <w:r w:rsidRPr="00B107AA">
        <w:rPr>
          <w:lang w:val="en-ID"/>
        </w:rPr>
        <w:t>Conversely, students living farther from campus often face barriers such as long commuting times, relatively high transportation costs, and physical fatigue, which reduce their likelihood of attending and engaging in campus life beyond mandatory academic activities (Kenyon, 2011). As a result, although the students formally register as active, they tend to limit their social involvement. This situation may explain why their feelings of social inclusion are lower than those of peers living closer to campus.</w:t>
      </w:r>
    </w:p>
    <w:p w14:paraId="1A0F0D43" w14:textId="2BA783A8" w:rsidR="00B107AA" w:rsidRPr="00B107AA" w:rsidRDefault="00B107AA" w:rsidP="00F324F7">
      <w:pPr>
        <w:pStyle w:val="JANZSSABodycopy"/>
        <w:rPr>
          <w:lang w:val="en-ID"/>
        </w:rPr>
      </w:pPr>
      <w:r w:rsidRPr="00B107AA">
        <w:rPr>
          <w:lang w:val="en-ID"/>
        </w:rPr>
        <w:t>An interesting finding of this study is that the distance of students’ residence from campus did not significantly affect social exclusion</w:t>
      </w:r>
      <w:r w:rsidR="009E608A">
        <w:rPr>
          <w:lang w:val="en-ID"/>
        </w:rPr>
        <w:t>. This finding is inconsistent with</w:t>
      </w:r>
      <w:r w:rsidRPr="00B107AA">
        <w:rPr>
          <w:lang w:val="en-ID"/>
        </w:rPr>
        <w:t xml:space="preserve"> the college belongingness theory outlined by Arslan (2021), which posits social exclusion as the antithesis of social inclusion: students’ perceptions of being unvalued, unimportant, or rejected by the university community. Although students living farther from campus may have fewer opportunities to engage in campus life, reduced engagement does not automatically result in feelings of rejection or marginalisation. In other words, not feeling “included” does not necessarily mean feeling “excluded.” Structural barriers such as long travel distances, transportation costs, or physical fatigue may limit students’ presence on campus, but these do not inherently generate interpersonal behaviours that constitute social exclusion.</w:t>
      </w:r>
    </w:p>
    <w:p w14:paraId="1A458650" w14:textId="511D4AA4" w:rsidR="00B107AA" w:rsidRPr="00B107AA" w:rsidRDefault="00B107AA" w:rsidP="00F324F7">
      <w:pPr>
        <w:pStyle w:val="JANZSSABodycopy"/>
        <w:rPr>
          <w:lang w:val="en-ID"/>
        </w:rPr>
      </w:pPr>
      <w:r w:rsidRPr="00B107AA">
        <w:rPr>
          <w:lang w:val="en-ID"/>
        </w:rPr>
        <w:t>This explanation aligns with research distinguishing between the absence of participation and experiences of exclusion. Social exclusion—which is conceptually parallel to ostracism (see Janke et al., 2024)—typically arises from direct interpersonal behaviours, such as being ignored, rejected, discriminated against, or marginalised from desired groups (Hutchison et al., 2007). Wesselmann et al. (2016) further emphasise that social exclusion requires active components of rejection or neglect, which are not a natural consequence of living farther from campus.</w:t>
      </w:r>
    </w:p>
    <w:p w14:paraId="0D97F078" w14:textId="7013807B" w:rsidR="00B107AA" w:rsidRPr="00B107AA" w:rsidRDefault="00B107AA" w:rsidP="00F324F7">
      <w:pPr>
        <w:pStyle w:val="JANZSSABodycopy"/>
        <w:rPr>
          <w:lang w:val="en-ID"/>
        </w:rPr>
      </w:pPr>
      <w:r w:rsidRPr="00B107AA">
        <w:rPr>
          <w:lang w:val="en-ID"/>
        </w:rPr>
        <w:t xml:space="preserve">Findings from </w:t>
      </w:r>
      <w:proofErr w:type="spellStart"/>
      <w:r w:rsidRPr="00B107AA">
        <w:rPr>
          <w:lang w:val="en-ID"/>
        </w:rPr>
        <w:t>Soylemez-Karakoc</w:t>
      </w:r>
      <w:proofErr w:type="spellEnd"/>
      <w:r w:rsidRPr="00B107AA">
        <w:rPr>
          <w:lang w:val="en-ID"/>
        </w:rPr>
        <w:t xml:space="preserve"> et al. (2024) support this interpretation. Their study of married international students showed that while residential distance did contribute to lower social inclusion by limiting participation, social exclusion experienced by these students was primarily driven by interpersonal and institutional factors. Examples include visa regulations restricting partners’ activities (e.g., F-2 visa holders prohibited from working), invisibility of partners within university policies, limited access to information and language training, </w:t>
      </w:r>
      <w:r w:rsidR="004B60CE">
        <w:rPr>
          <w:lang w:val="en-ID"/>
        </w:rPr>
        <w:t>and</w:t>
      </w:r>
      <w:r w:rsidRPr="00B107AA">
        <w:rPr>
          <w:lang w:val="en-ID"/>
        </w:rPr>
        <w:t xml:space="preserve"> financial burdens and shifts in gender roles within households. These findings indicate that social exclusion is shaped more by relational and institutional dynamics than by geographic distance alone.</w:t>
      </w:r>
    </w:p>
    <w:p w14:paraId="6D31759F" w14:textId="3734F209" w:rsidR="00B107AA" w:rsidRPr="00B107AA" w:rsidRDefault="00B107AA" w:rsidP="00F324F7">
      <w:pPr>
        <w:pStyle w:val="JANZSSABodycopy"/>
        <w:rPr>
          <w:lang w:val="en-ID"/>
        </w:rPr>
      </w:pPr>
      <w:r w:rsidRPr="00B107AA">
        <w:rPr>
          <w:lang w:val="en-ID"/>
        </w:rPr>
        <w:t>Overall, the nonsignificant effect of residential distance on social exclusion suggests that living farther from campus does limit opportunities for students to feel valued, but it does not inherently produce the interpersonal rejection necessary to generate experiences of exclusion. This distinction emphasises the importance of treating social inclusion and social exclusion as related but distinct constructs.</w:t>
      </w:r>
    </w:p>
    <w:p w14:paraId="7588429A" w14:textId="053606C9" w:rsidR="00B107AA" w:rsidRPr="00B107AA" w:rsidRDefault="00B107AA" w:rsidP="00F324F7">
      <w:pPr>
        <w:pStyle w:val="JANZSSABodycopy"/>
        <w:rPr>
          <w:lang w:val="en-ID"/>
        </w:rPr>
      </w:pPr>
      <w:r w:rsidRPr="00B107AA">
        <w:rPr>
          <w:lang w:val="en-ID"/>
        </w:rPr>
        <w:t xml:space="preserve">Another notable finding of this study reveals that parental education level did not significantly affect students' college belongingness in </w:t>
      </w:r>
      <w:r w:rsidR="00E0252D">
        <w:rPr>
          <w:lang w:val="en-ID"/>
        </w:rPr>
        <w:t xml:space="preserve">either </w:t>
      </w:r>
      <w:r w:rsidRPr="00B107AA">
        <w:rPr>
          <w:lang w:val="en-ID"/>
        </w:rPr>
        <w:t>the social inclusion or social exclusion</w:t>
      </w:r>
      <w:r w:rsidR="00E0252D">
        <w:rPr>
          <w:lang w:val="en-ID"/>
        </w:rPr>
        <w:t xml:space="preserve"> </w:t>
      </w:r>
      <w:r w:rsidR="00E0252D" w:rsidRPr="00B107AA">
        <w:rPr>
          <w:lang w:val="en-ID"/>
        </w:rPr>
        <w:t>dimension</w:t>
      </w:r>
      <w:r w:rsidRPr="00B107AA">
        <w:rPr>
          <w:lang w:val="en-ID"/>
        </w:rPr>
        <w:t xml:space="preserve">. The findings of this study differ from those of previous research. The discrepancy between the findings of this study and previous research that identified an effect of parental education on college belongingness can be explained by two main possibilities. First, this study examined multiple covariates simultaneously within the same student population, allowing for the identification of the contribution of each variable. With this analytical approach, it is possible that the correlations </w:t>
      </w:r>
      <w:r w:rsidRPr="00B107AA">
        <w:rPr>
          <w:lang w:val="en-ID"/>
        </w:rPr>
        <w:lastRenderedPageBreak/>
        <w:t>reported in earlier studies were influenced by confounding variables, such as residential location. Families with higher parental education levels are generally more likely to reside in urban areas or closer to the university (see, for example, Imeraj et al., 2022; Nieuwenhuis &amp; Xu, 2021; Yin et al., 2025), which</w:t>
      </w:r>
      <w:r w:rsidR="00E0252D">
        <w:rPr>
          <w:lang w:val="en-ID"/>
        </w:rPr>
        <w:t>,</w:t>
      </w:r>
      <w:r w:rsidRPr="00B107AA">
        <w:rPr>
          <w:lang w:val="en-ID"/>
        </w:rPr>
        <w:t xml:space="preserve"> in turn</w:t>
      </w:r>
      <w:r w:rsidR="00E0252D">
        <w:rPr>
          <w:lang w:val="en-ID"/>
        </w:rPr>
        <w:t>,</w:t>
      </w:r>
      <w:r w:rsidRPr="00B107AA">
        <w:rPr>
          <w:lang w:val="en-ID"/>
        </w:rPr>
        <w:t xml:space="preserve"> increases students’ access to campus activities and opportunities for social interaction (see, for example, Jorgenson et al., 2018; Tomás-Miquel &amp; Capó-Vicedo, 2022; Xu et al., 2015). Second, the relationship between parental education and college belongingness may also be mediated by the quality of parent–child attachment, rather than by parental education per se. Although parental education is often associated with supportive parenting styles, open communication, and academic motivation (Peng, 2023), these characteristics exert their influence primarily through the attachment processes they help shape. The literature consistently demonstrates that warm, responsive, and supportive parent–child relationships play a more substantial role in shaping students’ psychological well-being, adjustment, engagement, and sense of belonging than parental education alone (Furrer &amp; Skinner, 2003; Gana et al., 2024; </w:t>
      </w:r>
      <w:proofErr w:type="spellStart"/>
      <w:r w:rsidRPr="00B107AA">
        <w:rPr>
          <w:lang w:val="en-ID"/>
        </w:rPr>
        <w:t>Mattanah</w:t>
      </w:r>
      <w:proofErr w:type="spellEnd"/>
      <w:r w:rsidRPr="00B107AA">
        <w:rPr>
          <w:lang w:val="en-ID"/>
        </w:rPr>
        <w:t xml:space="preserve"> et al., 2011; Wilson &amp; Gore, 2013; Zhang et al., 2024). Accordingly, when multiple sociodemographic variables are analy</w:t>
      </w:r>
      <w:r w:rsidR="00C843B8">
        <w:rPr>
          <w:lang w:val="en-ID"/>
        </w:rPr>
        <w:t>s</w:t>
      </w:r>
      <w:r w:rsidRPr="00B107AA">
        <w:rPr>
          <w:lang w:val="en-ID"/>
        </w:rPr>
        <w:t>ed concurrently, the effect of parental education may become nonsignificant because its primary influence likely operates through patterns of attachment rather than through educational background itself.</w:t>
      </w:r>
    </w:p>
    <w:p w14:paraId="6D01A5D5" w14:textId="299B4E9E" w:rsidR="00B107AA" w:rsidRPr="00B107AA" w:rsidRDefault="00B107AA" w:rsidP="00F324F7">
      <w:pPr>
        <w:pStyle w:val="JANZSSABodycopy"/>
        <w:rPr>
          <w:lang w:val="en-ID"/>
        </w:rPr>
      </w:pPr>
      <w:r w:rsidRPr="00B107AA">
        <w:rPr>
          <w:lang w:val="en-ID"/>
        </w:rPr>
        <w:t xml:space="preserve">Living arrangement type during college also did not significantly influence students' college belongingness in </w:t>
      </w:r>
      <w:r w:rsidR="00CA6F61">
        <w:rPr>
          <w:lang w:val="en-ID"/>
        </w:rPr>
        <w:t xml:space="preserve">either </w:t>
      </w:r>
      <w:r w:rsidRPr="00B107AA">
        <w:rPr>
          <w:lang w:val="en-ID"/>
        </w:rPr>
        <w:t>the social inclusion or social exclusion</w:t>
      </w:r>
      <w:r w:rsidR="00CA6F61">
        <w:rPr>
          <w:lang w:val="en-ID"/>
        </w:rPr>
        <w:t xml:space="preserve"> </w:t>
      </w:r>
      <w:r w:rsidR="00CA6F61" w:rsidRPr="00B107AA">
        <w:rPr>
          <w:lang w:val="en-ID"/>
        </w:rPr>
        <w:t>dimension</w:t>
      </w:r>
      <w:r w:rsidRPr="00B107AA">
        <w:rPr>
          <w:lang w:val="en-ID"/>
        </w:rPr>
        <w:t xml:space="preserve">. </w:t>
      </w:r>
      <w:r w:rsidR="008F3BB8" w:rsidRPr="008F3BB8">
        <w:t>One possible explanation is that the quality of social interactions on campus, community support, and active participation in campus life may influence college belongingness</w:t>
      </w:r>
      <w:r w:rsidR="00A151E3">
        <w:t xml:space="preserve"> </w:t>
      </w:r>
      <w:r w:rsidRPr="00B107AA">
        <w:rPr>
          <w:lang w:val="en-ID"/>
        </w:rPr>
        <w:t xml:space="preserve">(Freeman et al., 2007; Hausmann et al., 2007; Strayhorn, 2019) more strongly than the student living arrangement. </w:t>
      </w:r>
      <w:r w:rsidR="008F3BB8">
        <w:rPr>
          <w:lang w:val="en-ID"/>
        </w:rPr>
        <w:t xml:space="preserve"> </w:t>
      </w:r>
      <w:r w:rsidR="008F3BB8" w:rsidRPr="008F3BB8">
        <w:t>The developmental tasks of emerging adulthood, particularly increasing autonomy and expanding social relationships, may also have contributed to this finding.</w:t>
      </w:r>
    </w:p>
    <w:p w14:paraId="0C7DBCF2" w14:textId="2C9C21F3" w:rsidR="00B107AA" w:rsidRPr="00B107AA" w:rsidRDefault="00B107AA" w:rsidP="00F324F7">
      <w:pPr>
        <w:pStyle w:val="JANZSSABodycopy"/>
        <w:rPr>
          <w:lang w:val="en-ID"/>
        </w:rPr>
      </w:pPr>
      <w:r w:rsidRPr="00B107AA">
        <w:rPr>
          <w:lang w:val="en-ID"/>
        </w:rPr>
        <w:t>As noted by Arnett (2000), students in the stage of emerging adulthood begin to develop independence, including identity exploration, increased autonomy, and broader social relationships. Therefore, living arrangements—whether with parents,</w:t>
      </w:r>
      <w:r w:rsidR="007D41E8" w:rsidRPr="007D41E8">
        <w:rPr>
          <w:lang w:val="en-ID"/>
        </w:rPr>
        <w:t xml:space="preserve"> </w:t>
      </w:r>
      <w:r w:rsidR="007D41E8" w:rsidRPr="00B107AA">
        <w:rPr>
          <w:lang w:val="en-ID"/>
        </w:rPr>
        <w:t>peers, or relatives</w:t>
      </w:r>
      <w:r w:rsidR="007D41E8">
        <w:rPr>
          <w:lang w:val="en-ID"/>
        </w:rPr>
        <w:t xml:space="preserve"> or</w:t>
      </w:r>
      <w:r w:rsidRPr="00B107AA">
        <w:rPr>
          <w:lang w:val="en-ID"/>
        </w:rPr>
        <w:t xml:space="preserve"> independently in rented accommodation—do not significantly affect their feelings of social inclusion or exclusion. With growing independence, students are more likely to build college belongingness through active involvement and social engagement on campus rather than through the influence of co-residents.</w:t>
      </w:r>
    </w:p>
    <w:p w14:paraId="29DD04EE" w14:textId="52D0CAFB" w:rsidR="00B107AA" w:rsidRPr="00B107AA" w:rsidRDefault="00B107AA" w:rsidP="00F324F7">
      <w:pPr>
        <w:pStyle w:val="JANZSSABodycopy"/>
        <w:rPr>
          <w:lang w:val="en-ID"/>
        </w:rPr>
      </w:pPr>
      <w:r w:rsidRPr="00B107AA">
        <w:rPr>
          <w:lang w:val="en-ID"/>
        </w:rPr>
        <w:t>This interpretation aligns with the perspective of Chickering and Reisser (1993), who argue that most students possess a high degree of social adaptability. This adaptive capacity enables them to maintain a sense of connection and engagement (social inclusion) or to avoid feelings of alienation (social exclusion), regardless of who they live with.</w:t>
      </w:r>
    </w:p>
    <w:p w14:paraId="320C5ED7" w14:textId="3C0EE01F" w:rsidR="00B107AA" w:rsidRPr="00F324F7" w:rsidRDefault="00B107AA" w:rsidP="00F324F7">
      <w:pPr>
        <w:pStyle w:val="JANZSSABodycopy"/>
        <w:rPr>
          <w:lang w:val="en-ID"/>
        </w:rPr>
      </w:pPr>
      <w:r w:rsidRPr="00B107AA">
        <w:rPr>
          <w:lang w:val="en-ID"/>
        </w:rPr>
        <w:t>Ultimately, this study's use of the MIMIC model successfully supported the theoretical framework developed from empirical findings. Although the MIMIC model is not designed explicitly for comparing group differences across covariates, this approach offers analytical efficiency by allowing multiple covariates to be analy</w:t>
      </w:r>
      <w:r w:rsidR="00C843B8">
        <w:rPr>
          <w:lang w:val="en-ID"/>
        </w:rPr>
        <w:t>s</w:t>
      </w:r>
      <w:r w:rsidRPr="00B107AA">
        <w:rPr>
          <w:lang w:val="en-ID"/>
        </w:rPr>
        <w:t xml:space="preserve">ed simultaneously </w:t>
      </w:r>
      <w:r w:rsidR="00AA27C4">
        <w:rPr>
          <w:lang w:val="en-ID"/>
        </w:rPr>
        <w:t xml:space="preserve">in relation to </w:t>
      </w:r>
      <w:r w:rsidRPr="00B107AA">
        <w:rPr>
          <w:lang w:val="en-ID"/>
        </w:rPr>
        <w:t xml:space="preserve">the latent variable. </w:t>
      </w:r>
      <w:proofErr w:type="spellStart"/>
      <w:r w:rsidRPr="00B107AA">
        <w:rPr>
          <w:lang w:val="en-ID"/>
        </w:rPr>
        <w:t>Muthén</w:t>
      </w:r>
      <w:proofErr w:type="spellEnd"/>
      <w:r w:rsidRPr="00B107AA">
        <w:rPr>
          <w:lang w:val="en-ID"/>
        </w:rPr>
        <w:t xml:space="preserve"> (1989) states that the MIMIC model accommodates heterogeneity within a population by integrating several predictors or covariates into the analysis model.</w:t>
      </w:r>
    </w:p>
    <w:p w14:paraId="396E9961" w14:textId="19E89DB3" w:rsidR="00B107AA" w:rsidRPr="00B107AA" w:rsidRDefault="00B107AA" w:rsidP="00F324F7">
      <w:pPr>
        <w:pStyle w:val="JANZSSAHeading1"/>
        <w:rPr>
          <w:lang w:val="en-ID" w:bidi="fa-IR"/>
        </w:rPr>
      </w:pPr>
      <w:r w:rsidRPr="00B107AA">
        <w:rPr>
          <w:lang w:val="en-ID" w:bidi="fa-IR"/>
        </w:rPr>
        <w:t>Conclusion</w:t>
      </w:r>
    </w:p>
    <w:p w14:paraId="6C2F1589" w14:textId="7A368DBE" w:rsidR="00B107AA" w:rsidRPr="00B107AA" w:rsidRDefault="00B107AA" w:rsidP="00F324F7">
      <w:pPr>
        <w:pStyle w:val="JANZSSABodycopy"/>
        <w:rPr>
          <w:lang w:val="en-ID"/>
        </w:rPr>
      </w:pPr>
      <w:r w:rsidRPr="00B107AA">
        <w:rPr>
          <w:lang w:val="en-ID"/>
        </w:rPr>
        <w:t xml:space="preserve">This study demonstrates the utility of the MIMIC model in assessing how students’ sociodemographic backgrounds—including region of origin, parental education, residential distance from campus, and living arrangements—influence college belongingness. The findings show that the region of origin significantly affects both dimensions of belongingness, namely social inclusion and social exclusion. Residential distance was found to play a meaningful role in predicting social </w:t>
      </w:r>
      <w:r w:rsidRPr="00B107AA">
        <w:rPr>
          <w:lang w:val="en-ID"/>
        </w:rPr>
        <w:lastRenderedPageBreak/>
        <w:t>inclusion, although it did not significantly influence social exclusion. In contrast, neither parental education nor students’ living arrangements demonstrated significant effects on either dimension.</w:t>
      </w:r>
    </w:p>
    <w:p w14:paraId="655A242D" w14:textId="51DD3AB5" w:rsidR="00B107AA" w:rsidRPr="00B107AA" w:rsidRDefault="00B107AA" w:rsidP="00F324F7">
      <w:pPr>
        <w:pStyle w:val="JANZSSABodycopy"/>
        <w:rPr>
          <w:lang w:val="en-ID"/>
        </w:rPr>
      </w:pPr>
      <w:r w:rsidRPr="00B107AA">
        <w:rPr>
          <w:lang w:val="en-ID"/>
        </w:rPr>
        <w:t>These findings provide important implications for higher education institutions. The significant roles of regional origin and commuting distance indicate that non-local and commuter students may face additional challenges in developing a strong sense of belonging. Universities may therefore benefit from implementing more targeted transition and engagement programs—such as tailored orientation activities, structured peer mentoring, and community-building initiatives—to support these students. Consistent with Tinto’s Student Integration Theory, enhancing belongingness among geographically or socially distant students may contribute to reducing their vulnerability to disengagement and dropout. These results underscore the importance of designing student</w:t>
      </w:r>
      <w:r w:rsidR="00DD6D7F">
        <w:rPr>
          <w:lang w:val="en-ID"/>
        </w:rPr>
        <w:t xml:space="preserve"> </w:t>
      </w:r>
      <w:r w:rsidRPr="00B107AA">
        <w:rPr>
          <w:lang w:val="en-ID"/>
        </w:rPr>
        <w:t>support strategies that recognise the sociodemographic diversity of the student population.</w:t>
      </w:r>
    </w:p>
    <w:p w14:paraId="5056DB08" w14:textId="21CD032A" w:rsidR="00B107AA" w:rsidRPr="00F324F7" w:rsidRDefault="00B107AA" w:rsidP="00F324F7">
      <w:pPr>
        <w:pStyle w:val="JANZSSABodycopy"/>
        <w:rPr>
          <w:lang w:val="en-ID"/>
        </w:rPr>
      </w:pPr>
      <w:r w:rsidRPr="00B107AA">
        <w:rPr>
          <w:lang w:val="en-ID"/>
        </w:rPr>
        <w:t>Future research may extend these findings by incorporating psychosocial factors or longitudinal designs to further illuminate how belongingness develops over time and how institutional interventions shape students’ trajectories.</w:t>
      </w:r>
    </w:p>
    <w:p w14:paraId="4674D760" w14:textId="77777777" w:rsidR="00B107AA" w:rsidRPr="00642DE3" w:rsidRDefault="00B107AA" w:rsidP="00F324F7">
      <w:pPr>
        <w:pStyle w:val="JANZSSAHeading1"/>
      </w:pPr>
      <w:r w:rsidRPr="00642DE3">
        <w:t xml:space="preserve">Acknowledgments </w:t>
      </w:r>
    </w:p>
    <w:p w14:paraId="0B7747E8" w14:textId="0809A34F" w:rsidR="00B107AA" w:rsidRPr="003C17F2" w:rsidRDefault="0016605C" w:rsidP="00F324F7">
      <w:pPr>
        <w:pStyle w:val="JANZSSABodycopy"/>
        <w:rPr>
          <w:b/>
        </w:rPr>
      </w:pPr>
      <w:r>
        <w:rPr>
          <w:noProof/>
        </w:rPr>
        <w:t>The a</w:t>
      </w:r>
      <w:r w:rsidR="00B107AA" w:rsidRPr="00642DE3">
        <w:rPr>
          <w:noProof/>
        </w:rPr>
        <w:t>uthors thank the participants who took part in the study.</w:t>
      </w:r>
    </w:p>
    <w:p w14:paraId="6906D1BA" w14:textId="1DAB5133" w:rsidR="000C01BB" w:rsidRDefault="000C01BB" w:rsidP="00F324F7">
      <w:pPr>
        <w:pStyle w:val="JANZSSABodycopy"/>
        <w:rPr>
          <w:rFonts w:eastAsia="Times New Roman"/>
        </w:rPr>
      </w:pPr>
      <w:r>
        <w:br w:type="page"/>
      </w:r>
    </w:p>
    <w:p w14:paraId="5EE728AA" w14:textId="352BB68B" w:rsidR="002022FE" w:rsidRPr="00DC44E3" w:rsidRDefault="002022FE" w:rsidP="00BB7D85">
      <w:pPr>
        <w:pStyle w:val="JANZSSAHeading1"/>
        <w:rPr>
          <w:rtl/>
        </w:rPr>
      </w:pPr>
      <w:r w:rsidRPr="00DC44E3">
        <w:rPr>
          <w:lang w:bidi="fa-IR"/>
        </w:rPr>
        <w:lastRenderedPageBreak/>
        <w:t>References</w:t>
      </w:r>
    </w:p>
    <w:p w14:paraId="5ABCDAFC" w14:textId="460D9FF9" w:rsidR="00B107AA" w:rsidRPr="00B107AA" w:rsidRDefault="00B107AA" w:rsidP="00F324F7">
      <w:pPr>
        <w:pStyle w:val="JANZSSAreferences"/>
        <w:rPr>
          <w:lang w:val="en-ID"/>
        </w:rPr>
      </w:pPr>
      <w:r w:rsidRPr="00B107AA">
        <w:rPr>
          <w:lang w:val="en-ID"/>
        </w:rPr>
        <w:t>Alkan, N. (201</w:t>
      </w:r>
      <w:r w:rsidR="0002333B">
        <w:rPr>
          <w:lang w:val="en-ID"/>
        </w:rPr>
        <w:t>6</w:t>
      </w:r>
      <w:r w:rsidRPr="00B107AA">
        <w:rPr>
          <w:lang w:val="en-ID"/>
        </w:rPr>
        <w:t xml:space="preserve">). Psychological sense of university membership: An adaptation study of the PSSM scale for Turkish university students. </w:t>
      </w:r>
      <w:r w:rsidR="0002333B">
        <w:rPr>
          <w:i/>
          <w:iCs/>
          <w:lang w:val="en-ID"/>
        </w:rPr>
        <w:t xml:space="preserve">The </w:t>
      </w:r>
      <w:r w:rsidRPr="00B107AA">
        <w:rPr>
          <w:i/>
          <w:iCs/>
          <w:lang w:val="en-ID"/>
        </w:rPr>
        <w:t>Journal of Psychology</w:t>
      </w:r>
      <w:r w:rsidRPr="00B107AA">
        <w:rPr>
          <w:lang w:val="en-ID"/>
        </w:rPr>
        <w:t xml:space="preserve">, </w:t>
      </w:r>
      <w:r w:rsidRPr="00B107AA">
        <w:rPr>
          <w:i/>
          <w:iCs/>
          <w:lang w:val="en-ID"/>
        </w:rPr>
        <w:t>150</w:t>
      </w:r>
      <w:r w:rsidRPr="00B107AA">
        <w:rPr>
          <w:lang w:val="en-ID"/>
        </w:rPr>
        <w:t>(4), 431–449. https://doi.org/10.1080/00223980.2015.1087373</w:t>
      </w:r>
    </w:p>
    <w:p w14:paraId="1A29CF50" w14:textId="77777777" w:rsidR="00B107AA" w:rsidRPr="00B107AA" w:rsidRDefault="00B107AA" w:rsidP="00F324F7">
      <w:pPr>
        <w:pStyle w:val="JANZSSAreferences"/>
        <w:rPr>
          <w:lang w:val="en-ID"/>
        </w:rPr>
      </w:pPr>
      <w:r w:rsidRPr="00B107AA">
        <w:rPr>
          <w:lang w:val="en-ID"/>
        </w:rPr>
        <w:t xml:space="preserve">Altman, I., &amp; Low, S. M. (1992). </w:t>
      </w:r>
      <w:r w:rsidRPr="00B107AA">
        <w:rPr>
          <w:i/>
          <w:iCs/>
          <w:lang w:val="en-ID"/>
        </w:rPr>
        <w:t>Place attachment</w:t>
      </w:r>
      <w:r w:rsidRPr="00B107AA">
        <w:rPr>
          <w:lang w:val="en-ID"/>
        </w:rPr>
        <w:t>. Plenum Press.</w:t>
      </w:r>
    </w:p>
    <w:p w14:paraId="5102FAC4" w14:textId="77777777" w:rsidR="00B107AA" w:rsidRPr="00B107AA" w:rsidRDefault="00B107AA" w:rsidP="00F324F7">
      <w:pPr>
        <w:pStyle w:val="JANZSSAreferences"/>
        <w:rPr>
          <w:lang w:val="en-ID"/>
        </w:rPr>
      </w:pPr>
      <w:proofErr w:type="spellStart"/>
      <w:r w:rsidRPr="00B107AA">
        <w:rPr>
          <w:lang w:val="en-ID"/>
        </w:rPr>
        <w:t>Arlianto</w:t>
      </w:r>
      <w:proofErr w:type="spellEnd"/>
      <w:r w:rsidRPr="00B107AA">
        <w:rPr>
          <w:lang w:val="en-ID"/>
        </w:rPr>
        <w:t xml:space="preserve">, A., &amp; </w:t>
      </w:r>
      <w:proofErr w:type="spellStart"/>
      <w:r w:rsidRPr="00B107AA">
        <w:rPr>
          <w:lang w:val="en-ID"/>
        </w:rPr>
        <w:t>Geshica</w:t>
      </w:r>
      <w:proofErr w:type="spellEnd"/>
      <w:r w:rsidRPr="00B107AA">
        <w:rPr>
          <w:lang w:val="en-ID"/>
        </w:rPr>
        <w:t xml:space="preserve">, L. (2022). Perceived risk of using online transportation during the COVID-19 pandemic: A MIMIC-model approach. </w:t>
      </w:r>
      <w:proofErr w:type="spellStart"/>
      <w:r w:rsidRPr="00B107AA">
        <w:rPr>
          <w:i/>
          <w:iCs/>
          <w:lang w:val="en-ID"/>
        </w:rPr>
        <w:t>Jurnal</w:t>
      </w:r>
      <w:proofErr w:type="spellEnd"/>
      <w:r w:rsidRPr="00B107AA">
        <w:rPr>
          <w:i/>
          <w:iCs/>
          <w:lang w:val="en-ID"/>
        </w:rPr>
        <w:t xml:space="preserve"> </w:t>
      </w:r>
      <w:proofErr w:type="spellStart"/>
      <w:r w:rsidRPr="00B107AA">
        <w:rPr>
          <w:i/>
          <w:iCs/>
          <w:lang w:val="en-ID"/>
        </w:rPr>
        <w:t>Psikologi</w:t>
      </w:r>
      <w:proofErr w:type="spellEnd"/>
      <w:r w:rsidRPr="00B107AA">
        <w:rPr>
          <w:i/>
          <w:iCs/>
          <w:lang w:val="en-ID"/>
        </w:rPr>
        <w:t xml:space="preserve"> Sosial</w:t>
      </w:r>
      <w:r w:rsidRPr="00B107AA">
        <w:rPr>
          <w:lang w:val="en-ID"/>
        </w:rPr>
        <w:t xml:space="preserve">, </w:t>
      </w:r>
      <w:r w:rsidRPr="00B107AA">
        <w:rPr>
          <w:i/>
          <w:iCs/>
          <w:lang w:val="en-ID"/>
        </w:rPr>
        <w:t>20</w:t>
      </w:r>
      <w:r w:rsidRPr="00B107AA">
        <w:rPr>
          <w:lang w:val="en-ID"/>
        </w:rPr>
        <w:t>(2), 111–120. https://doi.org/10.7454/jps.2022.14</w:t>
      </w:r>
    </w:p>
    <w:p w14:paraId="7A5B0EB6" w14:textId="77777777" w:rsidR="00B107AA" w:rsidRPr="00B107AA" w:rsidRDefault="00B107AA" w:rsidP="00F324F7">
      <w:pPr>
        <w:pStyle w:val="JANZSSAreferences"/>
        <w:rPr>
          <w:lang w:val="en-ID"/>
        </w:rPr>
      </w:pPr>
      <w:r w:rsidRPr="00B107AA">
        <w:rPr>
          <w:lang w:val="en-ID"/>
        </w:rPr>
        <w:t xml:space="preserve">Arnett, J. J. (2000). Emerging adulthood: A theory of development from the late teens through the twenties. </w:t>
      </w:r>
      <w:r w:rsidRPr="00B107AA">
        <w:rPr>
          <w:i/>
          <w:iCs/>
          <w:lang w:val="en-ID"/>
        </w:rPr>
        <w:t>American Psychologist</w:t>
      </w:r>
      <w:r w:rsidRPr="00B107AA">
        <w:rPr>
          <w:lang w:val="en-ID"/>
        </w:rPr>
        <w:t xml:space="preserve">, </w:t>
      </w:r>
      <w:r w:rsidRPr="00B107AA">
        <w:rPr>
          <w:i/>
          <w:iCs/>
          <w:lang w:val="en-ID"/>
        </w:rPr>
        <w:t>55</w:t>
      </w:r>
      <w:r w:rsidRPr="00B107AA">
        <w:rPr>
          <w:lang w:val="en-ID"/>
        </w:rPr>
        <w:t>(5), 469–480. https://doi.org/10.1037/0003-066X.55.5.469</w:t>
      </w:r>
    </w:p>
    <w:p w14:paraId="12505056" w14:textId="77777777" w:rsidR="00B107AA" w:rsidRPr="00B107AA" w:rsidRDefault="00B107AA" w:rsidP="00F324F7">
      <w:pPr>
        <w:pStyle w:val="JANZSSAreferences"/>
        <w:rPr>
          <w:lang w:val="en-ID"/>
        </w:rPr>
      </w:pPr>
      <w:r w:rsidRPr="00B107AA">
        <w:rPr>
          <w:lang w:val="en-ID"/>
        </w:rPr>
        <w:t xml:space="preserve">Arslan, G. (2021). Loneliness, college belongingness, subjective vitality, and psychological adjustment during coronavirus pandemic: Development of the college belongingness questionnaire. </w:t>
      </w:r>
      <w:r w:rsidRPr="00B107AA">
        <w:rPr>
          <w:i/>
          <w:iCs/>
          <w:lang w:val="en-ID"/>
        </w:rPr>
        <w:t>Journal of Positive School Psychology</w:t>
      </w:r>
      <w:r w:rsidRPr="00B107AA">
        <w:rPr>
          <w:lang w:val="en-ID"/>
        </w:rPr>
        <w:t xml:space="preserve">, </w:t>
      </w:r>
      <w:r w:rsidRPr="00B107AA">
        <w:rPr>
          <w:i/>
          <w:iCs/>
          <w:lang w:val="en-ID"/>
        </w:rPr>
        <w:t>5</w:t>
      </w:r>
      <w:r w:rsidRPr="00B107AA">
        <w:rPr>
          <w:lang w:val="en-ID"/>
        </w:rPr>
        <w:t>(1), 17–31. https://doi.org/10.47602/jpsp.v5i1.240</w:t>
      </w:r>
    </w:p>
    <w:p w14:paraId="2E269C3B" w14:textId="77777777" w:rsidR="00B107AA" w:rsidRPr="00B107AA" w:rsidRDefault="00B107AA" w:rsidP="00F324F7">
      <w:pPr>
        <w:pStyle w:val="JANZSSAreferences"/>
        <w:rPr>
          <w:lang w:val="en-ID"/>
        </w:rPr>
      </w:pPr>
      <w:r w:rsidRPr="00B107AA">
        <w:rPr>
          <w:lang w:val="en-ID"/>
        </w:rPr>
        <w:t xml:space="preserve">Arslan, G., &amp; Duru, E. (2017). Initial development and validation of the school belongingness scale. </w:t>
      </w:r>
      <w:r w:rsidRPr="00B107AA">
        <w:rPr>
          <w:i/>
          <w:iCs/>
          <w:lang w:val="en-ID"/>
        </w:rPr>
        <w:t>Child Indicators Research</w:t>
      </w:r>
      <w:r w:rsidRPr="00B107AA">
        <w:rPr>
          <w:lang w:val="en-ID"/>
        </w:rPr>
        <w:t xml:space="preserve">, </w:t>
      </w:r>
      <w:r w:rsidRPr="00B107AA">
        <w:rPr>
          <w:i/>
          <w:iCs/>
          <w:lang w:val="en-ID"/>
        </w:rPr>
        <w:t>10</w:t>
      </w:r>
      <w:r w:rsidRPr="00B107AA">
        <w:rPr>
          <w:lang w:val="en-ID"/>
        </w:rPr>
        <w:t>(4), 1043–1058. https://doi.org/10.1007/s12187-016-9414-y</w:t>
      </w:r>
    </w:p>
    <w:p w14:paraId="1A4444A0" w14:textId="77777777" w:rsidR="00B107AA" w:rsidRPr="00B107AA" w:rsidRDefault="00B107AA" w:rsidP="00F324F7">
      <w:pPr>
        <w:pStyle w:val="JANZSSAreferences"/>
        <w:rPr>
          <w:lang w:val="en-ID"/>
        </w:rPr>
      </w:pPr>
      <w:r w:rsidRPr="00B107AA">
        <w:rPr>
          <w:lang w:val="en-ID"/>
        </w:rPr>
        <w:t xml:space="preserve">Brown, B. B., Altman, I., &amp; Werner, C. M. (2011). Place attachment. In </w:t>
      </w:r>
      <w:r w:rsidRPr="00B107AA">
        <w:rPr>
          <w:i/>
          <w:iCs/>
          <w:lang w:val="en-ID"/>
        </w:rPr>
        <w:t xml:space="preserve">International </w:t>
      </w:r>
      <w:proofErr w:type="spellStart"/>
      <w:r w:rsidRPr="00B107AA">
        <w:rPr>
          <w:i/>
          <w:iCs/>
          <w:lang w:val="en-ID"/>
        </w:rPr>
        <w:t>encyclopedia</w:t>
      </w:r>
      <w:proofErr w:type="spellEnd"/>
      <w:r w:rsidRPr="00B107AA">
        <w:rPr>
          <w:i/>
          <w:iCs/>
          <w:lang w:val="en-ID"/>
        </w:rPr>
        <w:t xml:space="preserve"> of housing and home </w:t>
      </w:r>
      <w:r w:rsidRPr="00B107AA">
        <w:rPr>
          <w:lang w:val="en-ID"/>
        </w:rPr>
        <w:t>(pp. 183–188). Elsevier. https://doi.org/10.1016/B978-0-08-047163-1.00543-9</w:t>
      </w:r>
    </w:p>
    <w:p w14:paraId="480962A6" w14:textId="51C12833" w:rsidR="00B107AA" w:rsidRPr="00B107AA" w:rsidRDefault="00B107AA" w:rsidP="00F324F7">
      <w:pPr>
        <w:pStyle w:val="JANZSSAreferences"/>
        <w:rPr>
          <w:lang w:val="en-ID"/>
        </w:rPr>
      </w:pPr>
      <w:r w:rsidRPr="00B107AA">
        <w:rPr>
          <w:lang w:val="en-ID"/>
        </w:rPr>
        <w:t xml:space="preserve">Brown, G. T. L., </w:t>
      </w:r>
      <w:proofErr w:type="spellStart"/>
      <w:r w:rsidRPr="00B107AA">
        <w:rPr>
          <w:lang w:val="en-ID"/>
        </w:rPr>
        <w:t>Alqassab</w:t>
      </w:r>
      <w:proofErr w:type="spellEnd"/>
      <w:r w:rsidRPr="00B107AA">
        <w:rPr>
          <w:lang w:val="en-ID"/>
        </w:rPr>
        <w:t xml:space="preserve">, M., Bulut, O., &amp; Xiao, J. (2020). Detecting differential item functioning of polytomous items in small samples: Comparison of MIMIC with a pure Anchor and MIMIC-interaction methods. </w:t>
      </w:r>
      <w:r w:rsidRPr="00B107AA">
        <w:rPr>
          <w:i/>
          <w:iCs/>
          <w:lang w:val="en-ID"/>
        </w:rPr>
        <w:t>Psychological Test and Assessment Modeling</w:t>
      </w:r>
      <w:r w:rsidRPr="00B107AA">
        <w:rPr>
          <w:lang w:val="en-ID"/>
        </w:rPr>
        <w:t xml:space="preserve">, </w:t>
      </w:r>
      <w:r w:rsidRPr="00B107AA">
        <w:rPr>
          <w:i/>
          <w:iCs/>
          <w:lang w:val="en-ID"/>
        </w:rPr>
        <w:t>6</w:t>
      </w:r>
      <w:r w:rsidR="00862FC7">
        <w:rPr>
          <w:i/>
          <w:iCs/>
          <w:lang w:val="en-ID"/>
        </w:rPr>
        <w:t>2</w:t>
      </w:r>
      <w:r w:rsidRPr="00B107AA">
        <w:rPr>
          <w:lang w:val="en-ID"/>
        </w:rPr>
        <w:t>(4), 415–425.</w:t>
      </w:r>
      <w:r w:rsidR="00862FC7" w:rsidRPr="00862FC7">
        <w:t xml:space="preserve"> </w:t>
      </w:r>
      <w:r w:rsidR="00862FC7" w:rsidRPr="00862FC7">
        <w:rPr>
          <w:lang w:val="en-ID"/>
        </w:rPr>
        <w:t>https://ptam-journal.com/wp-content/uploads/2025/01/PTAM-4-2020_ebook_2-5_gavin.pdf</w:t>
      </w:r>
    </w:p>
    <w:p w14:paraId="2B1A60CF" w14:textId="77777777" w:rsidR="00B107AA" w:rsidRPr="00B107AA" w:rsidRDefault="00B107AA" w:rsidP="00F324F7">
      <w:pPr>
        <w:pStyle w:val="JANZSSAreferences"/>
        <w:rPr>
          <w:lang w:val="en-ID"/>
        </w:rPr>
      </w:pPr>
      <w:r w:rsidRPr="00B107AA">
        <w:rPr>
          <w:lang w:val="en-ID"/>
        </w:rPr>
        <w:t xml:space="preserve">Browne, M. W., &amp; </w:t>
      </w:r>
      <w:proofErr w:type="spellStart"/>
      <w:r w:rsidRPr="00B107AA">
        <w:rPr>
          <w:lang w:val="en-ID"/>
        </w:rPr>
        <w:t>Cudeck</w:t>
      </w:r>
      <w:proofErr w:type="spellEnd"/>
      <w:r w:rsidRPr="00B107AA">
        <w:rPr>
          <w:lang w:val="en-ID"/>
        </w:rPr>
        <w:t xml:space="preserve">, R. (1992). Alternative ways of assessing model fit. </w:t>
      </w:r>
      <w:r w:rsidRPr="00B107AA">
        <w:rPr>
          <w:i/>
          <w:iCs/>
          <w:lang w:val="en-ID"/>
        </w:rPr>
        <w:t>Sociological Methods &amp; Research</w:t>
      </w:r>
      <w:r w:rsidRPr="00B107AA">
        <w:rPr>
          <w:lang w:val="en-ID"/>
        </w:rPr>
        <w:t xml:space="preserve">, </w:t>
      </w:r>
      <w:r w:rsidRPr="00B107AA">
        <w:rPr>
          <w:i/>
          <w:iCs/>
          <w:lang w:val="en-ID"/>
        </w:rPr>
        <w:t>21</w:t>
      </w:r>
      <w:r w:rsidRPr="00B107AA">
        <w:rPr>
          <w:lang w:val="en-ID"/>
        </w:rPr>
        <w:t>(2), 230–258. https://doi.org/10.1177/0049124192021002005</w:t>
      </w:r>
    </w:p>
    <w:p w14:paraId="2E00AB42" w14:textId="77777777" w:rsidR="00B107AA" w:rsidRPr="00B107AA" w:rsidRDefault="00B107AA" w:rsidP="00F324F7">
      <w:pPr>
        <w:pStyle w:val="JANZSSAreferences"/>
        <w:rPr>
          <w:lang w:val="en-ID"/>
        </w:rPr>
      </w:pPr>
      <w:r w:rsidRPr="00B107AA">
        <w:rPr>
          <w:lang w:val="en-ID"/>
        </w:rPr>
        <w:t xml:space="preserve">Chaudhuri, K., Kumbhakar, S. C., &amp; Sundaram, L. (2016). Estimation of firm performance from a MIMIC model. </w:t>
      </w:r>
      <w:r w:rsidRPr="00B107AA">
        <w:rPr>
          <w:i/>
          <w:iCs/>
          <w:lang w:val="en-ID"/>
        </w:rPr>
        <w:t>European Journal of Operational Research</w:t>
      </w:r>
      <w:r w:rsidRPr="00B107AA">
        <w:rPr>
          <w:lang w:val="en-ID"/>
        </w:rPr>
        <w:t xml:space="preserve">, </w:t>
      </w:r>
      <w:r w:rsidRPr="00B107AA">
        <w:rPr>
          <w:i/>
          <w:iCs/>
          <w:lang w:val="en-ID"/>
        </w:rPr>
        <w:t>255</w:t>
      </w:r>
      <w:r w:rsidRPr="00B107AA">
        <w:rPr>
          <w:lang w:val="en-ID"/>
        </w:rPr>
        <w:t>(1), 298–307. https://doi.org/10.1016/j.ejor.2016.05.005</w:t>
      </w:r>
    </w:p>
    <w:p w14:paraId="6AB6D672" w14:textId="77777777" w:rsidR="00B107AA" w:rsidRPr="00B107AA" w:rsidRDefault="00B107AA" w:rsidP="00F324F7">
      <w:pPr>
        <w:pStyle w:val="JANZSSAreferences"/>
        <w:rPr>
          <w:lang w:val="en-ID"/>
        </w:rPr>
      </w:pPr>
      <w:r w:rsidRPr="00B107AA">
        <w:rPr>
          <w:lang w:val="en-ID"/>
        </w:rPr>
        <w:t xml:space="preserve">Cheng, Y., Shao, C., &amp; Lathrop, Q. N. (2016). The mediated MIMIC model for understanding the underlying mechanism of DIF. </w:t>
      </w:r>
      <w:r w:rsidRPr="00B107AA">
        <w:rPr>
          <w:i/>
          <w:iCs/>
          <w:lang w:val="en-ID"/>
        </w:rPr>
        <w:t>Educational and Psychological Measurement</w:t>
      </w:r>
      <w:r w:rsidRPr="00B107AA">
        <w:rPr>
          <w:lang w:val="en-ID"/>
        </w:rPr>
        <w:t xml:space="preserve">, </w:t>
      </w:r>
      <w:r w:rsidRPr="00B107AA">
        <w:rPr>
          <w:i/>
          <w:iCs/>
          <w:lang w:val="en-ID"/>
        </w:rPr>
        <w:t>76</w:t>
      </w:r>
      <w:r w:rsidRPr="00B107AA">
        <w:rPr>
          <w:lang w:val="en-ID"/>
        </w:rPr>
        <w:t>(1), 43–63. https://doi.org/10.1177/0013164415576187</w:t>
      </w:r>
    </w:p>
    <w:p w14:paraId="034DBA98" w14:textId="77777777" w:rsidR="00B107AA" w:rsidRPr="00B107AA" w:rsidRDefault="00B107AA" w:rsidP="00F324F7">
      <w:pPr>
        <w:pStyle w:val="JANZSSAreferences"/>
        <w:rPr>
          <w:lang w:val="en-ID"/>
        </w:rPr>
      </w:pPr>
      <w:r w:rsidRPr="00B107AA">
        <w:rPr>
          <w:lang w:val="en-ID"/>
        </w:rPr>
        <w:t xml:space="preserve">Cheung, H. N., Ho, W. S., Habibi </w:t>
      </w:r>
      <w:proofErr w:type="spellStart"/>
      <w:r w:rsidRPr="00B107AA">
        <w:rPr>
          <w:lang w:val="en-ID"/>
        </w:rPr>
        <w:t>Asgarabad</w:t>
      </w:r>
      <w:proofErr w:type="spellEnd"/>
      <w:r w:rsidRPr="00B107AA">
        <w:rPr>
          <w:lang w:val="en-ID"/>
        </w:rPr>
        <w:t xml:space="preserve">, M., Chan, S. W. Y., &amp; Williams, J. (2023). A multiple indicator multiple cause (MIMIC) model of the Self-Compassion Scale Youth (SCS-Y) and investigation of differential item functioning in China, Hong Kong and UK adolescents. </w:t>
      </w:r>
      <w:r w:rsidRPr="00B107AA">
        <w:rPr>
          <w:i/>
          <w:iCs/>
          <w:lang w:val="en-ID"/>
        </w:rPr>
        <w:t>Mindfulness</w:t>
      </w:r>
      <w:r w:rsidRPr="00B107AA">
        <w:rPr>
          <w:lang w:val="en-ID"/>
        </w:rPr>
        <w:t xml:space="preserve">, </w:t>
      </w:r>
      <w:r w:rsidRPr="00B107AA">
        <w:rPr>
          <w:i/>
          <w:iCs/>
          <w:lang w:val="en-ID"/>
        </w:rPr>
        <w:t>14</w:t>
      </w:r>
      <w:r w:rsidRPr="00B107AA">
        <w:rPr>
          <w:lang w:val="en-ID"/>
        </w:rPr>
        <w:t>(8), 1967–1979. https://doi.org/10.1007/s12671-023-02170-z</w:t>
      </w:r>
    </w:p>
    <w:p w14:paraId="57FC1144" w14:textId="77777777" w:rsidR="00B107AA" w:rsidRPr="00B107AA" w:rsidRDefault="00B107AA" w:rsidP="00F324F7">
      <w:pPr>
        <w:pStyle w:val="JANZSSAreferences"/>
        <w:rPr>
          <w:lang w:val="en-ID"/>
        </w:rPr>
      </w:pPr>
      <w:r w:rsidRPr="00B107AA">
        <w:rPr>
          <w:lang w:val="en-ID"/>
        </w:rPr>
        <w:t xml:space="preserve">Chickering, A. W., &amp; Reisser, L. (1993). </w:t>
      </w:r>
      <w:r w:rsidRPr="00B107AA">
        <w:rPr>
          <w:i/>
          <w:iCs/>
          <w:lang w:val="en-ID"/>
        </w:rPr>
        <w:t>Education and identity</w:t>
      </w:r>
      <w:r w:rsidRPr="00B107AA">
        <w:rPr>
          <w:lang w:val="en-ID"/>
        </w:rPr>
        <w:t xml:space="preserve"> (2nd ed.). Jossey-Bass.</w:t>
      </w:r>
    </w:p>
    <w:p w14:paraId="7C2F3272" w14:textId="77777777" w:rsidR="00B107AA" w:rsidRPr="00B107AA" w:rsidRDefault="00B107AA" w:rsidP="00F324F7">
      <w:pPr>
        <w:pStyle w:val="JANZSSAreferences"/>
        <w:rPr>
          <w:lang w:val="en-ID"/>
        </w:rPr>
      </w:pPr>
      <w:r w:rsidRPr="00B107AA">
        <w:rPr>
          <w:lang w:val="en-ID"/>
        </w:rPr>
        <w:t xml:space="preserve">Chun, S., Stark, S., Kim, E. S., &amp; </w:t>
      </w:r>
      <w:proofErr w:type="spellStart"/>
      <w:r w:rsidRPr="00B107AA">
        <w:rPr>
          <w:lang w:val="en-ID"/>
        </w:rPr>
        <w:t>Chernyshenko</w:t>
      </w:r>
      <w:proofErr w:type="spellEnd"/>
      <w:r w:rsidRPr="00B107AA">
        <w:rPr>
          <w:lang w:val="en-ID"/>
        </w:rPr>
        <w:t xml:space="preserve">, O. S. (2016). MIMIC methods for detecting DIF among multiple groups: Exploring a new sequential-free baseline procedure. </w:t>
      </w:r>
      <w:r w:rsidRPr="00B107AA">
        <w:rPr>
          <w:i/>
          <w:iCs/>
          <w:lang w:val="en-ID"/>
        </w:rPr>
        <w:t>Applied Psychological Measurement</w:t>
      </w:r>
      <w:r w:rsidRPr="00B107AA">
        <w:rPr>
          <w:lang w:val="en-ID"/>
        </w:rPr>
        <w:t xml:space="preserve">, </w:t>
      </w:r>
      <w:r w:rsidRPr="00B107AA">
        <w:rPr>
          <w:i/>
          <w:iCs/>
          <w:lang w:val="en-ID"/>
        </w:rPr>
        <w:t>40</w:t>
      </w:r>
      <w:r w:rsidRPr="00B107AA">
        <w:rPr>
          <w:lang w:val="en-ID"/>
        </w:rPr>
        <w:t>(7), 486–499. https://doi.org/10.1177/0146621616659738</w:t>
      </w:r>
    </w:p>
    <w:p w14:paraId="39AF40F7" w14:textId="4DA492BD" w:rsidR="00B107AA" w:rsidRPr="00B107AA" w:rsidRDefault="00B107AA" w:rsidP="00F324F7">
      <w:pPr>
        <w:pStyle w:val="JANZSSAreferences"/>
        <w:rPr>
          <w:lang w:val="en-ID"/>
        </w:rPr>
      </w:pPr>
      <w:r w:rsidRPr="00B107AA">
        <w:rPr>
          <w:lang w:val="en-ID"/>
        </w:rPr>
        <w:t xml:space="preserve">Cook, J., Bunn, M., Burke, P. J., Cuervo, H., Hardacre, S., &amp; Blunden, J. (2021). </w:t>
      </w:r>
      <w:r w:rsidRPr="00B107AA">
        <w:rPr>
          <w:i/>
          <w:iCs/>
          <w:lang w:val="en-ID"/>
        </w:rPr>
        <w:t>Housing matters: Understanding the housing experiences of undergraduate regional, rural and remote students living outside the family home</w:t>
      </w:r>
      <w:r w:rsidRPr="00B107AA">
        <w:rPr>
          <w:lang w:val="en-ID"/>
        </w:rPr>
        <w:t xml:space="preserve">. </w:t>
      </w:r>
      <w:r w:rsidR="0071075D" w:rsidRPr="0071075D">
        <w:t xml:space="preserve"> </w:t>
      </w:r>
      <w:r w:rsidR="0071075D" w:rsidRPr="0071075D">
        <w:rPr>
          <w:lang w:val="en-ID"/>
        </w:rPr>
        <w:t>National Centre for Student Equity in Higher Education</w:t>
      </w:r>
      <w:r w:rsidR="0071075D">
        <w:rPr>
          <w:lang w:val="en-ID"/>
        </w:rPr>
        <w:t>, Curtin University</w:t>
      </w:r>
      <w:r w:rsidRPr="00B107AA">
        <w:rPr>
          <w:lang w:val="en-ID"/>
        </w:rPr>
        <w:t>. https://www.acses.edu.au/app/uploads/2021/07/Cook_UoN_Housing_FINAL.pdf</w:t>
      </w:r>
    </w:p>
    <w:p w14:paraId="135C1FD2" w14:textId="77777777" w:rsidR="00B107AA" w:rsidRPr="00B107AA" w:rsidRDefault="00B107AA" w:rsidP="00F324F7">
      <w:pPr>
        <w:pStyle w:val="JANZSSAreferences"/>
        <w:rPr>
          <w:lang w:val="en-ID"/>
        </w:rPr>
      </w:pPr>
      <w:r w:rsidRPr="00B107AA">
        <w:rPr>
          <w:lang w:val="en-ID"/>
        </w:rPr>
        <w:t xml:space="preserve">Crawford, N., &amp; McKenzie, L. (2023). Localised learning: Mobilising belonging among mature-aged students in low socio-economic status regional and remote areas. </w:t>
      </w:r>
      <w:r w:rsidRPr="00B107AA">
        <w:rPr>
          <w:i/>
          <w:iCs/>
          <w:lang w:val="en-ID"/>
        </w:rPr>
        <w:t>Higher Education</w:t>
      </w:r>
      <w:r w:rsidRPr="00B107AA">
        <w:rPr>
          <w:lang w:val="en-ID"/>
        </w:rPr>
        <w:t xml:space="preserve">, </w:t>
      </w:r>
      <w:r w:rsidRPr="00B107AA">
        <w:rPr>
          <w:i/>
          <w:iCs/>
          <w:lang w:val="en-ID"/>
        </w:rPr>
        <w:t>85</w:t>
      </w:r>
      <w:r w:rsidRPr="00B107AA">
        <w:rPr>
          <w:lang w:val="en-ID"/>
        </w:rPr>
        <w:t>(5), 1021–1040. https://doi.org/10.1007/s10734-022-00877-x</w:t>
      </w:r>
    </w:p>
    <w:p w14:paraId="503D77D5" w14:textId="77777777" w:rsidR="00B107AA" w:rsidRPr="00B107AA" w:rsidRDefault="00B107AA" w:rsidP="00F324F7">
      <w:pPr>
        <w:pStyle w:val="JANZSSAreferences"/>
        <w:rPr>
          <w:lang w:val="en-ID"/>
        </w:rPr>
      </w:pPr>
      <w:r w:rsidRPr="00B107AA">
        <w:rPr>
          <w:lang w:val="en-ID"/>
        </w:rPr>
        <w:t xml:space="preserve">Dawson, P., Charman, K., &amp; Kilpatrick, S. (2013). The new higher education reality: What is an appropriate model to address the widening participation agenda? </w:t>
      </w:r>
      <w:r w:rsidRPr="00B107AA">
        <w:rPr>
          <w:i/>
          <w:iCs/>
          <w:lang w:val="en-ID"/>
        </w:rPr>
        <w:t>Higher Education Research and Development</w:t>
      </w:r>
      <w:r w:rsidRPr="00B107AA">
        <w:rPr>
          <w:lang w:val="en-ID"/>
        </w:rPr>
        <w:t xml:space="preserve">, </w:t>
      </w:r>
      <w:r w:rsidRPr="00B107AA">
        <w:rPr>
          <w:i/>
          <w:iCs/>
          <w:lang w:val="en-ID"/>
        </w:rPr>
        <w:t>32</w:t>
      </w:r>
      <w:r w:rsidRPr="00B107AA">
        <w:rPr>
          <w:lang w:val="en-ID"/>
        </w:rPr>
        <w:t>(5), 706–721. https://doi.org/10.1080/07294360.2013.776520</w:t>
      </w:r>
    </w:p>
    <w:p w14:paraId="612AF73A" w14:textId="0B9276A0" w:rsidR="00B107AA" w:rsidRPr="00B107AA" w:rsidRDefault="00B107AA" w:rsidP="00F324F7">
      <w:pPr>
        <w:pStyle w:val="JANZSSAreferences"/>
        <w:rPr>
          <w:lang w:val="en-ID"/>
        </w:rPr>
      </w:pPr>
      <w:r w:rsidRPr="00B107AA">
        <w:rPr>
          <w:lang w:val="en-ID"/>
        </w:rPr>
        <w:t>Dias-</w:t>
      </w:r>
      <w:proofErr w:type="spellStart"/>
      <w:r w:rsidRPr="00B107AA">
        <w:rPr>
          <w:lang w:val="en-ID"/>
        </w:rPr>
        <w:t>Broens</w:t>
      </w:r>
      <w:proofErr w:type="spellEnd"/>
      <w:r w:rsidRPr="00B107AA">
        <w:rPr>
          <w:lang w:val="en-ID"/>
        </w:rPr>
        <w:t xml:space="preserve">, A. S., </w:t>
      </w:r>
      <w:proofErr w:type="spellStart"/>
      <w:r w:rsidRPr="00B107AA">
        <w:rPr>
          <w:lang w:val="en-ID"/>
        </w:rPr>
        <w:t>Meeuwisse</w:t>
      </w:r>
      <w:proofErr w:type="spellEnd"/>
      <w:r w:rsidRPr="00B107AA">
        <w:rPr>
          <w:lang w:val="en-ID"/>
        </w:rPr>
        <w:t xml:space="preserve">, M., &amp; </w:t>
      </w:r>
      <w:proofErr w:type="spellStart"/>
      <w:r w:rsidRPr="00B107AA">
        <w:rPr>
          <w:lang w:val="en-ID"/>
        </w:rPr>
        <w:t>Severiens</w:t>
      </w:r>
      <w:proofErr w:type="spellEnd"/>
      <w:r w:rsidRPr="00B107AA">
        <w:rPr>
          <w:lang w:val="en-ID"/>
        </w:rPr>
        <w:t xml:space="preserve">, S. E. (2024). The definition and measurement of sense of belonging in higher education: A systematic literature review with a special focus on students’ ethnicity and generation status in higher education. </w:t>
      </w:r>
      <w:r w:rsidRPr="00B107AA">
        <w:rPr>
          <w:i/>
          <w:iCs/>
          <w:lang w:val="en-ID"/>
        </w:rPr>
        <w:t>Educational Research Review</w:t>
      </w:r>
      <w:r w:rsidRPr="00B107AA">
        <w:rPr>
          <w:lang w:val="en-ID"/>
        </w:rPr>
        <w:t xml:space="preserve">, </w:t>
      </w:r>
      <w:r w:rsidRPr="00B107AA">
        <w:rPr>
          <w:i/>
          <w:iCs/>
          <w:lang w:val="en-ID"/>
        </w:rPr>
        <w:t>45</w:t>
      </w:r>
      <w:r w:rsidRPr="00B107AA">
        <w:rPr>
          <w:lang w:val="en-ID"/>
        </w:rPr>
        <w:t xml:space="preserve">, </w:t>
      </w:r>
      <w:r w:rsidR="0033464A">
        <w:rPr>
          <w:lang w:val="en-ID"/>
        </w:rPr>
        <w:t xml:space="preserve">Article </w:t>
      </w:r>
      <w:r w:rsidRPr="00B107AA">
        <w:rPr>
          <w:lang w:val="en-ID"/>
        </w:rPr>
        <w:t>100622. https://doi.org/10.1016/j.edurev.2024.100622</w:t>
      </w:r>
    </w:p>
    <w:p w14:paraId="485B4589" w14:textId="77777777" w:rsidR="00B107AA" w:rsidRPr="00B107AA" w:rsidRDefault="00B107AA" w:rsidP="00F324F7">
      <w:pPr>
        <w:pStyle w:val="JANZSSAreferences"/>
        <w:rPr>
          <w:lang w:val="en-ID"/>
        </w:rPr>
      </w:pPr>
      <w:r w:rsidRPr="00B107AA">
        <w:rPr>
          <w:lang w:val="en-ID"/>
        </w:rPr>
        <w:lastRenderedPageBreak/>
        <w:t xml:space="preserve">Dumford, A. D., Ribera, A. K., &amp; Miller, A. L. (2019). Where and with whom students live: Impacts on peer belonging and institutional acceptance. </w:t>
      </w:r>
      <w:r w:rsidRPr="00B107AA">
        <w:rPr>
          <w:i/>
          <w:iCs/>
          <w:lang w:val="en-ID"/>
        </w:rPr>
        <w:t>Journal of College and University Student Housing</w:t>
      </w:r>
      <w:r w:rsidRPr="00B107AA">
        <w:rPr>
          <w:lang w:val="en-ID"/>
        </w:rPr>
        <w:t xml:space="preserve">, </w:t>
      </w:r>
      <w:r w:rsidRPr="00B107AA">
        <w:rPr>
          <w:i/>
          <w:iCs/>
          <w:lang w:val="en-ID"/>
        </w:rPr>
        <w:t>46</w:t>
      </w:r>
      <w:r w:rsidRPr="00B107AA">
        <w:rPr>
          <w:lang w:val="en-ID"/>
        </w:rPr>
        <w:t xml:space="preserve">(1), 10–29. </w:t>
      </w:r>
    </w:p>
    <w:p w14:paraId="70876DF6" w14:textId="77777777" w:rsidR="00B107AA" w:rsidRPr="00B107AA" w:rsidRDefault="00B107AA" w:rsidP="00F324F7">
      <w:pPr>
        <w:pStyle w:val="JANZSSAreferences"/>
        <w:rPr>
          <w:lang w:val="en-ID"/>
        </w:rPr>
      </w:pPr>
      <w:r w:rsidRPr="00B107AA">
        <w:rPr>
          <w:lang w:val="en-ID"/>
        </w:rPr>
        <w:t xml:space="preserve">Fourie, C. M. (2020). Risk factors associated with first-year students’ intention to drop out from a university in South Africa. </w:t>
      </w:r>
      <w:r w:rsidRPr="00B107AA">
        <w:rPr>
          <w:i/>
          <w:iCs/>
          <w:lang w:val="en-ID"/>
        </w:rPr>
        <w:t>Journal of Further and Higher Education</w:t>
      </w:r>
      <w:r w:rsidRPr="00B107AA">
        <w:rPr>
          <w:lang w:val="en-ID"/>
        </w:rPr>
        <w:t xml:space="preserve">, </w:t>
      </w:r>
      <w:r w:rsidRPr="00B107AA">
        <w:rPr>
          <w:i/>
          <w:iCs/>
          <w:lang w:val="en-ID"/>
        </w:rPr>
        <w:t>44</w:t>
      </w:r>
      <w:r w:rsidRPr="00B107AA">
        <w:rPr>
          <w:lang w:val="en-ID"/>
        </w:rPr>
        <w:t>(2), 201–215. https://doi.org/10.1080/0309877X.2018.1527023</w:t>
      </w:r>
    </w:p>
    <w:p w14:paraId="1692645D" w14:textId="77777777" w:rsidR="00B107AA" w:rsidRPr="00B107AA" w:rsidRDefault="00B107AA" w:rsidP="00F324F7">
      <w:pPr>
        <w:pStyle w:val="JANZSSAreferences"/>
        <w:rPr>
          <w:lang w:val="en-ID"/>
        </w:rPr>
      </w:pPr>
      <w:r w:rsidRPr="00B107AA">
        <w:rPr>
          <w:lang w:val="en-ID"/>
        </w:rPr>
        <w:t xml:space="preserve">Freeman, T. M., Anderman, L. H., &amp; Jensen, J. M. (2007). Sense of belonging in college freshmen at the classroom and campus levels. </w:t>
      </w:r>
      <w:r w:rsidRPr="00B107AA">
        <w:rPr>
          <w:i/>
          <w:iCs/>
          <w:lang w:val="en-ID"/>
        </w:rPr>
        <w:t>Journal of Experimental Education</w:t>
      </w:r>
      <w:r w:rsidRPr="00B107AA">
        <w:rPr>
          <w:lang w:val="en-ID"/>
        </w:rPr>
        <w:t xml:space="preserve">, </w:t>
      </w:r>
      <w:r w:rsidRPr="00B107AA">
        <w:rPr>
          <w:i/>
          <w:iCs/>
          <w:lang w:val="en-ID"/>
        </w:rPr>
        <w:t>75</w:t>
      </w:r>
      <w:r w:rsidRPr="00B107AA">
        <w:rPr>
          <w:lang w:val="en-ID"/>
        </w:rPr>
        <w:t>, 203–220. https://doi.org/10.3200/JEXE.75.3.203-220</w:t>
      </w:r>
    </w:p>
    <w:p w14:paraId="09211024" w14:textId="77777777" w:rsidR="00B107AA" w:rsidRPr="00B107AA" w:rsidRDefault="00B107AA" w:rsidP="00F324F7">
      <w:pPr>
        <w:pStyle w:val="JANZSSAreferences"/>
        <w:rPr>
          <w:lang w:val="en-ID"/>
        </w:rPr>
      </w:pPr>
      <w:r w:rsidRPr="00B107AA">
        <w:rPr>
          <w:lang w:val="en-ID"/>
        </w:rPr>
        <w:t xml:space="preserve">Furrer, C., &amp; Skinner, E. (2003). Sense of relatedness as a factor in children’s academic engagement and performance. </w:t>
      </w:r>
      <w:r w:rsidRPr="00B107AA">
        <w:rPr>
          <w:i/>
          <w:iCs/>
          <w:lang w:val="en-ID"/>
        </w:rPr>
        <w:t>Journal of Educational Psychology</w:t>
      </w:r>
      <w:r w:rsidRPr="00B107AA">
        <w:rPr>
          <w:lang w:val="en-ID"/>
        </w:rPr>
        <w:t xml:space="preserve">, </w:t>
      </w:r>
      <w:r w:rsidRPr="00B107AA">
        <w:rPr>
          <w:i/>
          <w:iCs/>
          <w:lang w:val="en-ID"/>
        </w:rPr>
        <w:t>95</w:t>
      </w:r>
      <w:r w:rsidRPr="00B107AA">
        <w:rPr>
          <w:lang w:val="en-ID"/>
        </w:rPr>
        <w:t>(1), 148–162. https://doi.org/10.1037/0022-0663.95.1.148</w:t>
      </w:r>
    </w:p>
    <w:p w14:paraId="5474EC13" w14:textId="77777777" w:rsidR="00B107AA" w:rsidRPr="00B107AA" w:rsidRDefault="00B107AA" w:rsidP="00F324F7">
      <w:pPr>
        <w:pStyle w:val="JANZSSAreferences"/>
        <w:rPr>
          <w:lang w:val="en-ID"/>
        </w:rPr>
      </w:pPr>
      <w:r w:rsidRPr="00B107AA">
        <w:rPr>
          <w:lang w:val="en-ID"/>
        </w:rPr>
        <w:t xml:space="preserve">Gana, M., Rad, D., &amp; Stoian, C. D. (2024). Family functioning, parental attachment and students’ academic success. </w:t>
      </w:r>
      <w:r w:rsidRPr="00B107AA">
        <w:rPr>
          <w:i/>
          <w:iCs/>
          <w:lang w:val="en-ID"/>
        </w:rPr>
        <w:t>Journal of Infrastructure, Policy and Development</w:t>
      </w:r>
      <w:r w:rsidRPr="00B107AA">
        <w:rPr>
          <w:lang w:val="en-ID"/>
        </w:rPr>
        <w:t xml:space="preserve">, </w:t>
      </w:r>
      <w:r w:rsidRPr="00B107AA">
        <w:rPr>
          <w:i/>
          <w:iCs/>
          <w:lang w:val="en-ID"/>
        </w:rPr>
        <w:t>8</w:t>
      </w:r>
      <w:r w:rsidRPr="00B107AA">
        <w:rPr>
          <w:lang w:val="en-ID"/>
        </w:rPr>
        <w:t>(1), 1–23. https://doi.org/10.24294/jipd.v8i1.2565</w:t>
      </w:r>
    </w:p>
    <w:p w14:paraId="24917B2E" w14:textId="77777777" w:rsidR="00B107AA" w:rsidRPr="00B107AA" w:rsidRDefault="00B107AA" w:rsidP="00F324F7">
      <w:pPr>
        <w:pStyle w:val="JANZSSAreferences"/>
        <w:rPr>
          <w:lang w:val="en-ID"/>
        </w:rPr>
      </w:pPr>
      <w:r w:rsidRPr="00B107AA">
        <w:rPr>
          <w:lang w:val="en-ID"/>
        </w:rPr>
        <w:t xml:space="preserve">Gillen-O’Neel, C. (2019). Sense of belonging and student engagement: A daily study of first- and continuing-generation college students. </w:t>
      </w:r>
      <w:r w:rsidRPr="00B107AA">
        <w:rPr>
          <w:i/>
          <w:iCs/>
          <w:lang w:val="en-ID"/>
        </w:rPr>
        <w:t>Research in Higher Education</w:t>
      </w:r>
      <w:r w:rsidRPr="00B107AA">
        <w:rPr>
          <w:lang w:val="en-ID"/>
        </w:rPr>
        <w:t xml:space="preserve">, </w:t>
      </w:r>
      <w:r w:rsidRPr="00B107AA">
        <w:rPr>
          <w:i/>
          <w:iCs/>
          <w:lang w:val="en-ID"/>
        </w:rPr>
        <w:t>62</w:t>
      </w:r>
      <w:r w:rsidRPr="00B107AA">
        <w:rPr>
          <w:lang w:val="en-ID"/>
        </w:rPr>
        <w:t>(1), 45–71. https://doi.org/10.1007/s11162-019-09570-y</w:t>
      </w:r>
    </w:p>
    <w:p w14:paraId="7C2F6B39" w14:textId="270944FE" w:rsidR="00B107AA" w:rsidRPr="00B107AA" w:rsidRDefault="00B107AA" w:rsidP="00F324F7">
      <w:pPr>
        <w:pStyle w:val="JANZSSAreferences"/>
        <w:rPr>
          <w:lang w:val="en-ID"/>
        </w:rPr>
      </w:pPr>
      <w:r w:rsidRPr="00B107AA">
        <w:rPr>
          <w:lang w:val="en-ID"/>
        </w:rPr>
        <w:t xml:space="preserve">Goodenow, C. (1993). The psychological sense of school membership among adolescents: Scale development and educational correlates. </w:t>
      </w:r>
      <w:r w:rsidRPr="00B107AA">
        <w:rPr>
          <w:i/>
          <w:iCs/>
          <w:lang w:val="en-ID"/>
        </w:rPr>
        <w:t>Psychology in the Schools</w:t>
      </w:r>
      <w:r w:rsidRPr="00B107AA">
        <w:rPr>
          <w:lang w:val="en-ID"/>
        </w:rPr>
        <w:t xml:space="preserve">, </w:t>
      </w:r>
      <w:r w:rsidRPr="00B107AA">
        <w:rPr>
          <w:i/>
          <w:iCs/>
          <w:lang w:val="en-ID"/>
        </w:rPr>
        <w:t>30</w:t>
      </w:r>
      <w:r w:rsidR="00E97875">
        <w:rPr>
          <w:lang w:val="en-ID"/>
        </w:rPr>
        <w:t>(1)</w:t>
      </w:r>
      <w:r w:rsidRPr="00B107AA">
        <w:rPr>
          <w:lang w:val="en-ID"/>
        </w:rPr>
        <w:t xml:space="preserve">, 79–90. </w:t>
      </w:r>
      <w:r w:rsidR="005A397F" w:rsidRPr="005A397F">
        <w:t>https://doi.org/10.1002/1520-6807(199301)30:1&lt;</w:t>
      </w:r>
      <w:proofErr w:type="gramStart"/>
      <w:r w:rsidR="005A397F" w:rsidRPr="005A397F">
        <w:t>79::</w:t>
      </w:r>
      <w:proofErr w:type="gramEnd"/>
      <w:r w:rsidR="005A397F" w:rsidRPr="005A397F">
        <w:t>aid-pits2310300113&gt;3.0.co;2-x</w:t>
      </w:r>
    </w:p>
    <w:p w14:paraId="42316FE7" w14:textId="77777777" w:rsidR="00B107AA" w:rsidRPr="00B107AA" w:rsidRDefault="00B107AA" w:rsidP="00F324F7">
      <w:pPr>
        <w:pStyle w:val="JANZSSAreferences"/>
        <w:rPr>
          <w:lang w:val="en-ID"/>
        </w:rPr>
      </w:pPr>
      <w:r w:rsidRPr="00B107AA">
        <w:rPr>
          <w:lang w:val="en-ID"/>
        </w:rPr>
        <w:t xml:space="preserve">Gopalan, M., &amp; Brady, S. T. (2020). College students’ sense of belonging: A national perspective. </w:t>
      </w:r>
      <w:r w:rsidRPr="00B107AA">
        <w:rPr>
          <w:i/>
          <w:iCs/>
          <w:lang w:val="en-ID"/>
        </w:rPr>
        <w:t>Educational Researcher</w:t>
      </w:r>
      <w:r w:rsidRPr="00B107AA">
        <w:rPr>
          <w:lang w:val="en-ID"/>
        </w:rPr>
        <w:t xml:space="preserve">, </w:t>
      </w:r>
      <w:r w:rsidRPr="00B107AA">
        <w:rPr>
          <w:i/>
          <w:iCs/>
          <w:lang w:val="en-ID"/>
        </w:rPr>
        <w:t>49</w:t>
      </w:r>
      <w:r w:rsidRPr="00B107AA">
        <w:rPr>
          <w:lang w:val="en-ID"/>
        </w:rPr>
        <w:t>(2), 134–137. https://doi.org/10.3102/0013189X19897622</w:t>
      </w:r>
    </w:p>
    <w:p w14:paraId="7D9ED70B" w14:textId="77777777" w:rsidR="00B107AA" w:rsidRPr="00B107AA" w:rsidRDefault="00B107AA" w:rsidP="00F324F7">
      <w:pPr>
        <w:pStyle w:val="JANZSSAreferences"/>
        <w:rPr>
          <w:lang w:val="en-ID"/>
        </w:rPr>
      </w:pPr>
      <w:r w:rsidRPr="00B107AA">
        <w:rPr>
          <w:lang w:val="en-ID"/>
        </w:rPr>
        <w:t xml:space="preserve">Gudmundsson, E. (2009). Guidelines for translating and adapting psychological instruments. </w:t>
      </w:r>
      <w:r w:rsidRPr="00B107AA">
        <w:rPr>
          <w:i/>
          <w:iCs/>
          <w:lang w:val="en-ID"/>
        </w:rPr>
        <w:t>Nordic Psychology</w:t>
      </w:r>
      <w:r w:rsidRPr="00B107AA">
        <w:rPr>
          <w:lang w:val="en-ID"/>
        </w:rPr>
        <w:t xml:space="preserve">, </w:t>
      </w:r>
      <w:r w:rsidRPr="00B107AA">
        <w:rPr>
          <w:i/>
          <w:iCs/>
          <w:lang w:val="en-ID"/>
        </w:rPr>
        <w:t>61</w:t>
      </w:r>
      <w:r w:rsidRPr="00B107AA">
        <w:rPr>
          <w:lang w:val="en-ID"/>
        </w:rPr>
        <w:t>(2), 29–45. https://doi.org/10.1027/1901-2276.61.2.29</w:t>
      </w:r>
    </w:p>
    <w:p w14:paraId="51ACB0F0" w14:textId="77777777" w:rsidR="00B107AA" w:rsidRPr="00B107AA" w:rsidRDefault="00B107AA" w:rsidP="00F324F7">
      <w:pPr>
        <w:pStyle w:val="JANZSSAreferences"/>
        <w:rPr>
          <w:lang w:val="en-ID"/>
        </w:rPr>
      </w:pPr>
      <w:r w:rsidRPr="00B107AA">
        <w:rPr>
          <w:lang w:val="en-ID"/>
        </w:rPr>
        <w:t xml:space="preserve">Hagerty, B. M. K., Lynch-Sauer, J., </w:t>
      </w:r>
      <w:proofErr w:type="spellStart"/>
      <w:r w:rsidRPr="00B107AA">
        <w:rPr>
          <w:lang w:val="en-ID"/>
        </w:rPr>
        <w:t>Patusky</w:t>
      </w:r>
      <w:proofErr w:type="spellEnd"/>
      <w:r w:rsidRPr="00B107AA">
        <w:rPr>
          <w:lang w:val="en-ID"/>
        </w:rPr>
        <w:t xml:space="preserve">, K. L., Bouwsema, M., &amp; Collier, P. (1992). Sense of belonging: A vital mental health concept. </w:t>
      </w:r>
      <w:r w:rsidRPr="00B107AA">
        <w:rPr>
          <w:i/>
          <w:iCs/>
          <w:lang w:val="en-ID"/>
        </w:rPr>
        <w:t>Archives of Psychiatric Nursing</w:t>
      </w:r>
      <w:r w:rsidRPr="00B107AA">
        <w:rPr>
          <w:lang w:val="en-ID"/>
        </w:rPr>
        <w:t xml:space="preserve">, </w:t>
      </w:r>
      <w:r w:rsidRPr="00B107AA">
        <w:rPr>
          <w:i/>
          <w:iCs/>
          <w:lang w:val="en-ID"/>
        </w:rPr>
        <w:t>6</w:t>
      </w:r>
      <w:r w:rsidRPr="00B107AA">
        <w:rPr>
          <w:lang w:val="en-ID"/>
        </w:rPr>
        <w:t>(3), 172–177. https://doi.org/10.1016/0883-9417(92)90028-H</w:t>
      </w:r>
    </w:p>
    <w:p w14:paraId="690CCF69" w14:textId="77777777" w:rsidR="00B107AA" w:rsidRPr="00B107AA" w:rsidRDefault="00B107AA" w:rsidP="00F324F7">
      <w:pPr>
        <w:pStyle w:val="JANZSSAreferences"/>
        <w:rPr>
          <w:lang w:val="en-ID"/>
        </w:rPr>
      </w:pPr>
      <w:r w:rsidRPr="00B107AA">
        <w:rPr>
          <w:lang w:val="en-ID"/>
        </w:rPr>
        <w:t xml:space="preserve">Hair, J. F., Black, W. C., Babin, B. J., &amp; Anderson, R. E. (2014). </w:t>
      </w:r>
      <w:r w:rsidRPr="00B107AA">
        <w:rPr>
          <w:i/>
          <w:iCs/>
          <w:lang w:val="en-ID"/>
        </w:rPr>
        <w:t>Multivariate data analysis</w:t>
      </w:r>
      <w:r w:rsidRPr="00B107AA">
        <w:rPr>
          <w:lang w:val="en-ID"/>
        </w:rPr>
        <w:t xml:space="preserve"> (7th ed.). Prentice Hall</w:t>
      </w:r>
    </w:p>
    <w:p w14:paraId="2B7DE263" w14:textId="0EABDAA8" w:rsidR="00B107AA" w:rsidRPr="00B107AA" w:rsidRDefault="00B107AA" w:rsidP="00F324F7">
      <w:pPr>
        <w:pStyle w:val="JANZSSAreferences"/>
        <w:rPr>
          <w:lang w:val="en-ID"/>
        </w:rPr>
      </w:pPr>
      <w:proofErr w:type="spellStart"/>
      <w:r w:rsidRPr="00B107AA">
        <w:rPr>
          <w:lang w:val="en-ID"/>
        </w:rPr>
        <w:t>Häuberer</w:t>
      </w:r>
      <w:proofErr w:type="spellEnd"/>
      <w:r w:rsidRPr="00B107AA">
        <w:rPr>
          <w:lang w:val="en-ID"/>
        </w:rPr>
        <w:t xml:space="preserve">, J. (2011). </w:t>
      </w:r>
      <w:r w:rsidRPr="00B107AA">
        <w:rPr>
          <w:i/>
          <w:iCs/>
          <w:lang w:val="en-ID"/>
        </w:rPr>
        <w:t>Social capital theory: Towards a methodological foundation.</w:t>
      </w:r>
      <w:r w:rsidRPr="00B107AA">
        <w:rPr>
          <w:lang w:val="en-ID"/>
        </w:rPr>
        <w:t xml:space="preserve"> VS Verlag für </w:t>
      </w:r>
      <w:proofErr w:type="spellStart"/>
      <w:r w:rsidRPr="00B107AA">
        <w:rPr>
          <w:lang w:val="en-ID"/>
        </w:rPr>
        <w:t>Sozialwissenschaften</w:t>
      </w:r>
      <w:proofErr w:type="spellEnd"/>
      <w:r w:rsidRPr="00B107AA">
        <w:rPr>
          <w:lang w:val="en-ID"/>
        </w:rPr>
        <w:t>. https://doi.org/10.1007/978-3-531-92646-9</w:t>
      </w:r>
    </w:p>
    <w:p w14:paraId="1762B161" w14:textId="77777777" w:rsidR="00B107AA" w:rsidRPr="00B107AA" w:rsidRDefault="00B107AA" w:rsidP="00F324F7">
      <w:pPr>
        <w:pStyle w:val="JANZSSAreferences"/>
        <w:rPr>
          <w:lang w:val="en-ID"/>
        </w:rPr>
      </w:pPr>
      <w:r w:rsidRPr="00B107AA">
        <w:rPr>
          <w:lang w:val="en-ID"/>
        </w:rPr>
        <w:t xml:space="preserve">Hausmann, L. R. M., Schofield, J. W., &amp; Woods, R. L. (2007). Sense of belonging as a predictor of intentions to persist among African American and white first-year college students. </w:t>
      </w:r>
      <w:r w:rsidRPr="00B107AA">
        <w:rPr>
          <w:i/>
          <w:iCs/>
          <w:lang w:val="en-ID"/>
        </w:rPr>
        <w:t>Research in Higher Education</w:t>
      </w:r>
      <w:r w:rsidRPr="00B107AA">
        <w:rPr>
          <w:lang w:val="en-ID"/>
        </w:rPr>
        <w:t xml:space="preserve">, </w:t>
      </w:r>
      <w:r w:rsidRPr="00B107AA">
        <w:rPr>
          <w:i/>
          <w:iCs/>
          <w:lang w:val="en-ID"/>
        </w:rPr>
        <w:t>48</w:t>
      </w:r>
      <w:r w:rsidRPr="00B107AA">
        <w:rPr>
          <w:lang w:val="en-ID"/>
        </w:rPr>
        <w:t>(7), 803–839. https://doi.org/10.1007/s11162-007-9052-9</w:t>
      </w:r>
    </w:p>
    <w:p w14:paraId="403B9FAB" w14:textId="77777777" w:rsidR="00B107AA" w:rsidRPr="00B107AA" w:rsidRDefault="00B107AA" w:rsidP="00F324F7">
      <w:pPr>
        <w:pStyle w:val="JANZSSAreferences"/>
        <w:rPr>
          <w:lang w:val="en-ID"/>
        </w:rPr>
      </w:pPr>
      <w:r w:rsidRPr="00B107AA">
        <w:rPr>
          <w:lang w:val="en-ID"/>
        </w:rPr>
        <w:t xml:space="preserve">Hausmann, L. R. M., Ye, F., Schofield, J. W., &amp; Woods, R. L. (2009). Sense of belonging and persistence in white and African American first-year students. </w:t>
      </w:r>
      <w:r w:rsidRPr="00B107AA">
        <w:rPr>
          <w:i/>
          <w:iCs/>
          <w:lang w:val="en-ID"/>
        </w:rPr>
        <w:t>Research in Higher Education</w:t>
      </w:r>
      <w:r w:rsidRPr="00B107AA">
        <w:rPr>
          <w:lang w:val="en-ID"/>
        </w:rPr>
        <w:t xml:space="preserve">, </w:t>
      </w:r>
      <w:r w:rsidRPr="00B107AA">
        <w:rPr>
          <w:i/>
          <w:iCs/>
          <w:lang w:val="en-ID"/>
        </w:rPr>
        <w:t>50</w:t>
      </w:r>
      <w:r w:rsidRPr="00B107AA">
        <w:rPr>
          <w:lang w:val="en-ID"/>
        </w:rPr>
        <w:t>(7), 649–669. https://doi.org/10.1007/s11162-009-9137-8</w:t>
      </w:r>
    </w:p>
    <w:p w14:paraId="4A693D42" w14:textId="69472BD8" w:rsidR="00B107AA" w:rsidRPr="00B107AA" w:rsidRDefault="00B107AA" w:rsidP="00F324F7">
      <w:pPr>
        <w:pStyle w:val="JANZSSAreferences"/>
        <w:rPr>
          <w:lang w:val="en-ID"/>
        </w:rPr>
      </w:pPr>
      <w:r w:rsidRPr="00B107AA">
        <w:rPr>
          <w:lang w:val="en-ID"/>
        </w:rPr>
        <w:t xml:space="preserve">Heinisch, B. P. (2018). </w:t>
      </w:r>
      <w:r w:rsidRPr="00B107AA">
        <w:rPr>
          <w:i/>
          <w:iCs/>
          <w:lang w:val="en-ID"/>
        </w:rPr>
        <w:t>Rural students’ sense of belonging at a large public university</w:t>
      </w:r>
      <w:r w:rsidRPr="00B107AA">
        <w:rPr>
          <w:lang w:val="en-ID"/>
        </w:rPr>
        <w:t xml:space="preserve"> [Doctoral dissertation, University of Nebraska-Lincoln]. </w:t>
      </w:r>
      <w:r w:rsidR="00B244F5" w:rsidRPr="00B244F5">
        <w:rPr>
          <w:lang w:val="en-ID"/>
        </w:rPr>
        <w:t xml:space="preserve">Digital </w:t>
      </w:r>
      <w:proofErr w:type="spellStart"/>
      <w:r w:rsidR="00B244F5" w:rsidRPr="00B244F5">
        <w:rPr>
          <w:lang w:val="en-ID"/>
        </w:rPr>
        <w:t>Commons@University</w:t>
      </w:r>
      <w:proofErr w:type="spellEnd"/>
      <w:r w:rsidR="00B244F5" w:rsidRPr="00B244F5">
        <w:rPr>
          <w:lang w:val="en-ID"/>
        </w:rPr>
        <w:t xml:space="preserve"> of Nebraska–Lincoln</w:t>
      </w:r>
      <w:r w:rsidR="00B244F5">
        <w:rPr>
          <w:lang w:val="en-ID"/>
        </w:rPr>
        <w:t xml:space="preserve">. </w:t>
      </w:r>
      <w:r w:rsidRPr="00B107AA">
        <w:rPr>
          <w:lang w:val="en-ID"/>
        </w:rPr>
        <w:t>https://digitalcommons.unl.edu/cehsedaddiss/291</w:t>
      </w:r>
    </w:p>
    <w:p w14:paraId="425FFA86" w14:textId="77777777" w:rsidR="00B107AA" w:rsidRPr="00B107AA" w:rsidRDefault="00B107AA" w:rsidP="00F324F7">
      <w:pPr>
        <w:pStyle w:val="JANZSSAreferences"/>
        <w:rPr>
          <w:lang w:val="en-ID"/>
        </w:rPr>
      </w:pPr>
      <w:r w:rsidRPr="00B107AA">
        <w:rPr>
          <w:lang w:val="en-ID"/>
        </w:rPr>
        <w:t xml:space="preserve">Hoffman, M., Richmond, J., Morrow, J., &amp; Salomone, K. (2002). Investigating “sense of belonging” in first-year college students. </w:t>
      </w:r>
      <w:r w:rsidRPr="00B107AA">
        <w:rPr>
          <w:i/>
          <w:iCs/>
          <w:lang w:val="en-ID"/>
        </w:rPr>
        <w:t>Journal of College Student Retention: Research, Theory &amp; Practice</w:t>
      </w:r>
      <w:r w:rsidRPr="00B107AA">
        <w:rPr>
          <w:lang w:val="en-ID"/>
        </w:rPr>
        <w:t xml:space="preserve">, </w:t>
      </w:r>
      <w:r w:rsidRPr="00B107AA">
        <w:rPr>
          <w:i/>
          <w:iCs/>
          <w:lang w:val="en-ID"/>
        </w:rPr>
        <w:t>4</w:t>
      </w:r>
      <w:r w:rsidRPr="00B107AA">
        <w:rPr>
          <w:lang w:val="en-ID"/>
        </w:rPr>
        <w:t>(3), 227–256. https://doi.org/10.2190/dryc-cxq9-jq8v-ht4v</w:t>
      </w:r>
    </w:p>
    <w:p w14:paraId="771AAF95" w14:textId="77777777" w:rsidR="00B107AA" w:rsidRPr="00B107AA" w:rsidRDefault="00B107AA" w:rsidP="00F324F7">
      <w:pPr>
        <w:pStyle w:val="JANZSSAreferences"/>
        <w:rPr>
          <w:lang w:val="en-ID"/>
        </w:rPr>
      </w:pPr>
      <w:r w:rsidRPr="00B107AA">
        <w:rPr>
          <w:lang w:val="en-ID"/>
        </w:rPr>
        <w:t xml:space="preserve">Hsu, H.-Y., Zhang, D., Kwok, O. M., Li, Y., &amp; Ju, S. (2010). Distinguishing the influences of father’s and mother’s involvement on adolescent academic achievement: Analyses of Taiwan education panel survey data. </w:t>
      </w:r>
      <w:r w:rsidRPr="00B107AA">
        <w:rPr>
          <w:i/>
          <w:iCs/>
          <w:lang w:val="en-ID"/>
        </w:rPr>
        <w:t>Journal of Early Adolescence</w:t>
      </w:r>
      <w:r w:rsidRPr="00B107AA">
        <w:rPr>
          <w:lang w:val="en-ID"/>
        </w:rPr>
        <w:t xml:space="preserve">, </w:t>
      </w:r>
      <w:r w:rsidRPr="00B107AA">
        <w:rPr>
          <w:i/>
          <w:iCs/>
          <w:lang w:val="en-ID"/>
        </w:rPr>
        <w:t>31</w:t>
      </w:r>
      <w:r w:rsidRPr="00B107AA">
        <w:rPr>
          <w:lang w:val="en-ID"/>
        </w:rPr>
        <w:t>(5), 694–713. https://doi.org/10.1177/0272431610373101</w:t>
      </w:r>
    </w:p>
    <w:p w14:paraId="55CEDD37" w14:textId="77777777" w:rsidR="00B107AA" w:rsidRPr="00B107AA" w:rsidRDefault="00B107AA" w:rsidP="00F324F7">
      <w:pPr>
        <w:pStyle w:val="JANZSSAreferences"/>
        <w:rPr>
          <w:lang w:val="en-ID"/>
        </w:rPr>
      </w:pPr>
      <w:r w:rsidRPr="00B107AA">
        <w:rPr>
          <w:lang w:val="en-ID"/>
        </w:rPr>
        <w:t xml:space="preserve">Hurtado, S., &amp; Carter, D. F. (1997). Effects of college transition and perceptions of the campus racial climate on Latino college students’ sense of belonging. </w:t>
      </w:r>
      <w:r w:rsidRPr="00B107AA">
        <w:rPr>
          <w:i/>
          <w:iCs/>
          <w:lang w:val="en-ID"/>
        </w:rPr>
        <w:t>Sociology of Education</w:t>
      </w:r>
      <w:r w:rsidRPr="00B107AA">
        <w:rPr>
          <w:lang w:val="en-ID"/>
        </w:rPr>
        <w:t xml:space="preserve">, </w:t>
      </w:r>
      <w:r w:rsidRPr="00B107AA">
        <w:rPr>
          <w:i/>
          <w:iCs/>
          <w:lang w:val="en-ID"/>
        </w:rPr>
        <w:t>70</w:t>
      </w:r>
      <w:r w:rsidRPr="00B107AA">
        <w:rPr>
          <w:lang w:val="en-ID"/>
        </w:rPr>
        <w:t>(4), 324–345. https://doi.org/10.2307/2673270</w:t>
      </w:r>
    </w:p>
    <w:p w14:paraId="7C096B02" w14:textId="77777777" w:rsidR="00B107AA" w:rsidRPr="00B107AA" w:rsidRDefault="00B107AA" w:rsidP="00F324F7">
      <w:pPr>
        <w:pStyle w:val="JANZSSAreferences"/>
        <w:rPr>
          <w:lang w:val="en-ID"/>
        </w:rPr>
      </w:pPr>
      <w:r w:rsidRPr="00B107AA">
        <w:rPr>
          <w:lang w:val="en-ID"/>
        </w:rPr>
        <w:t xml:space="preserve">Hutchison, P., Abrams, D., &amp; Christian, J. (2007). The social psychology of exclusion. In D. Abrams, J. Christian, &amp; D. Gordon (Eds.), </w:t>
      </w:r>
      <w:r w:rsidRPr="00B107AA">
        <w:rPr>
          <w:i/>
          <w:iCs/>
          <w:lang w:val="en-ID"/>
        </w:rPr>
        <w:t>Multidisciplinary handbook of social exclusion research</w:t>
      </w:r>
      <w:r w:rsidRPr="00B107AA">
        <w:rPr>
          <w:lang w:val="en-ID"/>
        </w:rPr>
        <w:t xml:space="preserve"> (pp. 29–57). John Wiley &amp; Sons.</w:t>
      </w:r>
    </w:p>
    <w:p w14:paraId="105B1860" w14:textId="5F825397" w:rsidR="00B107AA" w:rsidRPr="00B107AA" w:rsidRDefault="00B107AA" w:rsidP="00F324F7">
      <w:pPr>
        <w:pStyle w:val="JANZSSAreferences"/>
        <w:rPr>
          <w:lang w:val="en-ID"/>
        </w:rPr>
      </w:pPr>
      <w:r w:rsidRPr="00B107AA">
        <w:rPr>
          <w:lang w:val="en-ID"/>
        </w:rPr>
        <w:lastRenderedPageBreak/>
        <w:t xml:space="preserve">Imeraj, L., De Valk, H. A. G., &amp; </w:t>
      </w:r>
      <w:proofErr w:type="spellStart"/>
      <w:r w:rsidRPr="00B107AA">
        <w:rPr>
          <w:lang w:val="en-ID"/>
        </w:rPr>
        <w:t>Gadeyne</w:t>
      </w:r>
      <w:proofErr w:type="spellEnd"/>
      <w:r w:rsidRPr="00B107AA">
        <w:rPr>
          <w:lang w:val="en-ID"/>
        </w:rPr>
        <w:t xml:space="preserve">, S. (2022). Parental education and neighbourhood‐effect heterogeneity in educational attainments of native and minority youth in Belgian metropolitan cities. </w:t>
      </w:r>
      <w:r w:rsidRPr="00B107AA">
        <w:rPr>
          <w:i/>
          <w:iCs/>
          <w:lang w:val="en-ID"/>
        </w:rPr>
        <w:t>Population, Space and Place</w:t>
      </w:r>
      <w:r w:rsidRPr="00B107AA">
        <w:rPr>
          <w:lang w:val="en-ID"/>
        </w:rPr>
        <w:t xml:space="preserve">, </w:t>
      </w:r>
      <w:r w:rsidRPr="00B107AA">
        <w:rPr>
          <w:i/>
          <w:iCs/>
          <w:lang w:val="en-ID"/>
        </w:rPr>
        <w:t>30</w:t>
      </w:r>
      <w:r w:rsidRPr="00B107AA">
        <w:rPr>
          <w:lang w:val="en-ID"/>
        </w:rPr>
        <w:t xml:space="preserve">(5), </w:t>
      </w:r>
      <w:r w:rsidR="007E2588">
        <w:rPr>
          <w:lang w:val="en-ID"/>
        </w:rPr>
        <w:t xml:space="preserve">Article </w:t>
      </w:r>
      <w:r w:rsidRPr="00B107AA">
        <w:rPr>
          <w:lang w:val="en-ID"/>
        </w:rPr>
        <w:t>e2756. https://doi.org/10.1002/psp.2756</w:t>
      </w:r>
    </w:p>
    <w:p w14:paraId="11C2DD0A" w14:textId="77777777" w:rsidR="00B107AA" w:rsidRPr="00B107AA" w:rsidRDefault="00B107AA" w:rsidP="00F324F7">
      <w:pPr>
        <w:pStyle w:val="JANZSSAreferences"/>
        <w:rPr>
          <w:lang w:val="en-ID"/>
        </w:rPr>
      </w:pPr>
      <w:r w:rsidRPr="00B107AA">
        <w:rPr>
          <w:lang w:val="en-ID"/>
        </w:rPr>
        <w:t xml:space="preserve">Jamali, J., </w:t>
      </w:r>
      <w:proofErr w:type="spellStart"/>
      <w:r w:rsidRPr="00B107AA">
        <w:rPr>
          <w:lang w:val="en-ID"/>
        </w:rPr>
        <w:t>Ayatollahi</w:t>
      </w:r>
      <w:proofErr w:type="spellEnd"/>
      <w:r w:rsidRPr="00B107AA">
        <w:rPr>
          <w:lang w:val="en-ID"/>
        </w:rPr>
        <w:t xml:space="preserve">, S. M. T., &amp; Jafari, P. (2017). The effect of small sample size on measurement equivalence of psychometric questionnaires in MIMIC model: A simulation study. </w:t>
      </w:r>
      <w:r w:rsidRPr="00B107AA">
        <w:rPr>
          <w:i/>
          <w:iCs/>
          <w:lang w:val="en-ID"/>
        </w:rPr>
        <w:t>BioMed Research International</w:t>
      </w:r>
      <w:r w:rsidRPr="00B107AA">
        <w:rPr>
          <w:lang w:val="en-ID"/>
        </w:rPr>
        <w:t>, Article 7596101. https://doi.org/10.1155/2017/7596101</w:t>
      </w:r>
    </w:p>
    <w:p w14:paraId="7BA68B04" w14:textId="77777777" w:rsidR="00B107AA" w:rsidRPr="00B107AA" w:rsidRDefault="00B107AA" w:rsidP="00F324F7">
      <w:pPr>
        <w:pStyle w:val="JANZSSAreferences"/>
        <w:rPr>
          <w:lang w:val="en-ID"/>
        </w:rPr>
      </w:pPr>
      <w:r w:rsidRPr="00B107AA">
        <w:rPr>
          <w:lang w:val="en-ID"/>
        </w:rPr>
        <w:t xml:space="preserve">Janke, S., </w:t>
      </w:r>
      <w:proofErr w:type="spellStart"/>
      <w:r w:rsidRPr="00B107AA">
        <w:rPr>
          <w:lang w:val="en-ID"/>
        </w:rPr>
        <w:t>Messerer</w:t>
      </w:r>
      <w:proofErr w:type="spellEnd"/>
      <w:r w:rsidRPr="00B107AA">
        <w:rPr>
          <w:lang w:val="en-ID"/>
        </w:rPr>
        <w:t xml:space="preserve">, L. A. S., Merkle, B., &amp; Rudert, S. C. (2024). Why do minority students feel they don’t fit in? Migration background and parental education differentially predict social ostracism and belongingness. </w:t>
      </w:r>
      <w:r w:rsidRPr="00B107AA">
        <w:rPr>
          <w:i/>
          <w:iCs/>
          <w:lang w:val="en-ID"/>
        </w:rPr>
        <w:t>Group Processes and Intergroup Relations</w:t>
      </w:r>
      <w:r w:rsidRPr="00B107AA">
        <w:rPr>
          <w:lang w:val="en-ID"/>
        </w:rPr>
        <w:t xml:space="preserve">, </w:t>
      </w:r>
      <w:r w:rsidRPr="00B107AA">
        <w:rPr>
          <w:i/>
          <w:iCs/>
          <w:lang w:val="en-ID"/>
        </w:rPr>
        <w:t>27</w:t>
      </w:r>
      <w:r w:rsidRPr="00B107AA">
        <w:rPr>
          <w:lang w:val="en-ID"/>
        </w:rPr>
        <w:t>(2), 278–299. https://doi.org/10.1177/13684302221142781</w:t>
      </w:r>
    </w:p>
    <w:p w14:paraId="3F30161C" w14:textId="77777777" w:rsidR="00B107AA" w:rsidRPr="00B107AA" w:rsidRDefault="00B107AA" w:rsidP="00F324F7">
      <w:pPr>
        <w:pStyle w:val="JANZSSAreferences"/>
        <w:rPr>
          <w:lang w:val="en-ID"/>
        </w:rPr>
      </w:pPr>
      <w:r w:rsidRPr="00B107AA">
        <w:rPr>
          <w:lang w:val="en-ID"/>
        </w:rPr>
        <w:t xml:space="preserve">Jin, K. Y., &amp; Chen, H. F. (2020). MIMIC approach to assessing differential item functioning with control of extreme response style. </w:t>
      </w:r>
      <w:r w:rsidRPr="00B107AA">
        <w:rPr>
          <w:i/>
          <w:iCs/>
          <w:lang w:val="en-ID"/>
        </w:rPr>
        <w:t>Behavior Research Methods</w:t>
      </w:r>
      <w:r w:rsidRPr="00B107AA">
        <w:rPr>
          <w:lang w:val="en-ID"/>
        </w:rPr>
        <w:t xml:space="preserve">, </w:t>
      </w:r>
      <w:r w:rsidRPr="00B107AA">
        <w:rPr>
          <w:i/>
          <w:iCs/>
          <w:lang w:val="en-ID"/>
        </w:rPr>
        <w:t>52</w:t>
      </w:r>
      <w:r w:rsidRPr="00B107AA">
        <w:rPr>
          <w:lang w:val="en-ID"/>
        </w:rPr>
        <w:t>(1), 23–35. https://doi.org/10.3758/s13428-019-01198-1</w:t>
      </w:r>
    </w:p>
    <w:p w14:paraId="32CCFB2D" w14:textId="5B9C4C00" w:rsidR="00B107AA" w:rsidRPr="00B107AA" w:rsidRDefault="00B107AA" w:rsidP="00F324F7">
      <w:pPr>
        <w:pStyle w:val="JANZSSAreferences"/>
        <w:rPr>
          <w:lang w:val="en-ID"/>
        </w:rPr>
      </w:pPr>
      <w:proofErr w:type="spellStart"/>
      <w:r w:rsidRPr="001D1A6A">
        <w:rPr>
          <w:lang w:val="en-ID"/>
        </w:rPr>
        <w:t>J</w:t>
      </w:r>
      <w:r w:rsidR="001D1A6A" w:rsidRPr="00B107AA">
        <w:rPr>
          <w:lang w:val="en-ID"/>
        </w:rPr>
        <w:t>ö</w:t>
      </w:r>
      <w:r w:rsidRPr="00B107AA">
        <w:rPr>
          <w:lang w:val="en-ID"/>
        </w:rPr>
        <w:t>reskog</w:t>
      </w:r>
      <w:proofErr w:type="spellEnd"/>
      <w:r w:rsidRPr="00B107AA">
        <w:rPr>
          <w:lang w:val="en-ID"/>
        </w:rPr>
        <w:t xml:space="preserve">, K. G., &amp; Goldberger, A. S. (1975). Estimation of a model with multiple indicators and multiple causes of a single latent variable. </w:t>
      </w:r>
      <w:r w:rsidRPr="00B107AA">
        <w:rPr>
          <w:i/>
          <w:iCs/>
          <w:lang w:val="en-ID"/>
        </w:rPr>
        <w:t>Journal of the American Statistical Association</w:t>
      </w:r>
      <w:r w:rsidRPr="00B107AA">
        <w:rPr>
          <w:lang w:val="en-ID"/>
        </w:rPr>
        <w:t xml:space="preserve">, </w:t>
      </w:r>
      <w:r w:rsidRPr="00B107AA">
        <w:rPr>
          <w:i/>
          <w:iCs/>
          <w:lang w:val="en-ID"/>
        </w:rPr>
        <w:t>70</w:t>
      </w:r>
      <w:r w:rsidRPr="00B107AA">
        <w:rPr>
          <w:lang w:val="en-ID"/>
        </w:rPr>
        <w:t>(351), 631</w:t>
      </w:r>
      <w:r w:rsidR="001D1A6A">
        <w:rPr>
          <w:lang w:val="en-ID"/>
        </w:rPr>
        <w:t>–</w:t>
      </w:r>
      <w:r w:rsidRPr="00B107AA">
        <w:rPr>
          <w:lang w:val="en-ID"/>
        </w:rPr>
        <w:t>639. https://doi.org/10.2307/2285946</w:t>
      </w:r>
    </w:p>
    <w:p w14:paraId="7CCCC05D" w14:textId="2FB14E12" w:rsidR="00B107AA" w:rsidRPr="00B107AA" w:rsidRDefault="00B107AA" w:rsidP="00F324F7">
      <w:pPr>
        <w:pStyle w:val="JANZSSAreferences"/>
        <w:rPr>
          <w:lang w:val="en-ID"/>
        </w:rPr>
      </w:pPr>
      <w:proofErr w:type="spellStart"/>
      <w:r w:rsidRPr="00B107AA">
        <w:rPr>
          <w:lang w:val="en-ID"/>
        </w:rPr>
        <w:t>Jöreskog</w:t>
      </w:r>
      <w:proofErr w:type="spellEnd"/>
      <w:r w:rsidRPr="00B107AA">
        <w:rPr>
          <w:lang w:val="en-ID"/>
        </w:rPr>
        <w:t xml:space="preserve">, K. G., &amp; </w:t>
      </w:r>
      <w:proofErr w:type="spellStart"/>
      <w:r w:rsidRPr="00B107AA">
        <w:rPr>
          <w:lang w:val="en-ID"/>
        </w:rPr>
        <w:t>Sörbom</w:t>
      </w:r>
      <w:proofErr w:type="spellEnd"/>
      <w:r w:rsidRPr="00B107AA">
        <w:rPr>
          <w:lang w:val="en-ID"/>
        </w:rPr>
        <w:t xml:space="preserve">, D. (1993). </w:t>
      </w:r>
      <w:r w:rsidR="001D1A6A" w:rsidRPr="00B107AA">
        <w:rPr>
          <w:i/>
          <w:iCs/>
          <w:lang w:val="en-ID"/>
        </w:rPr>
        <w:t>L</w:t>
      </w:r>
      <w:r w:rsidR="001D1A6A" w:rsidRPr="001D1A6A">
        <w:rPr>
          <w:i/>
          <w:iCs/>
        </w:rPr>
        <w:t>ISREL</w:t>
      </w:r>
      <w:r w:rsidR="001D1A6A" w:rsidRPr="00B107AA">
        <w:rPr>
          <w:i/>
          <w:iCs/>
          <w:lang w:val="en-ID"/>
        </w:rPr>
        <w:t xml:space="preserve"> </w:t>
      </w:r>
      <w:r w:rsidRPr="00B107AA">
        <w:rPr>
          <w:i/>
          <w:iCs/>
          <w:lang w:val="en-ID"/>
        </w:rPr>
        <w:t xml:space="preserve">8: Structural equation modeling with the </w:t>
      </w:r>
      <w:r w:rsidR="001D1A6A" w:rsidRPr="001D1A6A">
        <w:rPr>
          <w:i/>
          <w:iCs/>
        </w:rPr>
        <w:t>SIMPLIS</w:t>
      </w:r>
      <w:r w:rsidRPr="00B107AA">
        <w:rPr>
          <w:i/>
          <w:iCs/>
          <w:lang w:val="en-ID"/>
        </w:rPr>
        <w:t xml:space="preserve"> command language</w:t>
      </w:r>
      <w:r w:rsidRPr="00B107AA">
        <w:rPr>
          <w:lang w:val="en-ID"/>
        </w:rPr>
        <w:t>. Scientific Software International, Inc.</w:t>
      </w:r>
    </w:p>
    <w:p w14:paraId="55FCB9E1" w14:textId="77777777" w:rsidR="00B107AA" w:rsidRPr="00B107AA" w:rsidRDefault="00B107AA" w:rsidP="00F324F7">
      <w:pPr>
        <w:pStyle w:val="JANZSSAreferences"/>
        <w:rPr>
          <w:lang w:val="en-ID"/>
        </w:rPr>
      </w:pPr>
      <w:r w:rsidRPr="00B107AA">
        <w:rPr>
          <w:lang w:val="en-ID"/>
        </w:rPr>
        <w:t xml:space="preserve">Jorgenson, D. A., Farrell, L. C., Fudge, J. L., &amp; Pritchard, A. (2018). College connectedness: The student perspective. </w:t>
      </w:r>
      <w:r w:rsidRPr="00B107AA">
        <w:rPr>
          <w:i/>
          <w:iCs/>
          <w:lang w:val="en-ID"/>
        </w:rPr>
        <w:t>Journal of the Scholarship of Teaching and Learning</w:t>
      </w:r>
      <w:r w:rsidRPr="00B107AA">
        <w:rPr>
          <w:lang w:val="en-ID"/>
        </w:rPr>
        <w:t xml:space="preserve">, </w:t>
      </w:r>
      <w:r w:rsidRPr="00B107AA">
        <w:rPr>
          <w:i/>
          <w:iCs/>
          <w:lang w:val="en-ID"/>
        </w:rPr>
        <w:t>18</w:t>
      </w:r>
      <w:r w:rsidRPr="00B107AA">
        <w:rPr>
          <w:lang w:val="en-ID"/>
        </w:rPr>
        <w:t>(1), 75–95. https://doi.org/10.14434/josotl.v18i1.22371</w:t>
      </w:r>
    </w:p>
    <w:p w14:paraId="5B73BD96" w14:textId="77777777" w:rsidR="00B107AA" w:rsidRPr="00B107AA" w:rsidRDefault="00B107AA" w:rsidP="00F324F7">
      <w:pPr>
        <w:pStyle w:val="JANZSSAreferences"/>
        <w:rPr>
          <w:lang w:val="en-ID"/>
        </w:rPr>
      </w:pPr>
      <w:r w:rsidRPr="00B107AA">
        <w:rPr>
          <w:lang w:val="en-ID"/>
        </w:rPr>
        <w:t xml:space="preserve">Jury, M., Smeding, A., Stephens, N. M., Nelson, J. E., </w:t>
      </w:r>
      <w:proofErr w:type="spellStart"/>
      <w:r w:rsidRPr="00B107AA">
        <w:rPr>
          <w:lang w:val="en-ID"/>
        </w:rPr>
        <w:t>Aelenei</w:t>
      </w:r>
      <w:proofErr w:type="spellEnd"/>
      <w:r w:rsidRPr="00B107AA">
        <w:rPr>
          <w:lang w:val="en-ID"/>
        </w:rPr>
        <w:t xml:space="preserve">, C., &amp; </w:t>
      </w:r>
      <w:proofErr w:type="spellStart"/>
      <w:r w:rsidRPr="00B107AA">
        <w:rPr>
          <w:lang w:val="en-ID"/>
        </w:rPr>
        <w:t>Darnon</w:t>
      </w:r>
      <w:proofErr w:type="spellEnd"/>
      <w:r w:rsidRPr="00B107AA">
        <w:rPr>
          <w:lang w:val="en-ID"/>
        </w:rPr>
        <w:t xml:space="preserve">, C. (2017). The experience of low-SES students in higher education: Psychological barriers to success and interventions to reduce social-class inequality. </w:t>
      </w:r>
      <w:r w:rsidRPr="00B107AA">
        <w:rPr>
          <w:i/>
          <w:iCs/>
          <w:lang w:val="en-ID"/>
        </w:rPr>
        <w:t>Journal of Social Issues</w:t>
      </w:r>
      <w:r w:rsidRPr="00B107AA">
        <w:rPr>
          <w:lang w:val="en-ID"/>
        </w:rPr>
        <w:t xml:space="preserve">, </w:t>
      </w:r>
      <w:r w:rsidRPr="00B107AA">
        <w:rPr>
          <w:i/>
          <w:iCs/>
          <w:lang w:val="en-ID"/>
        </w:rPr>
        <w:t>73</w:t>
      </w:r>
      <w:r w:rsidRPr="00B107AA">
        <w:rPr>
          <w:lang w:val="en-ID"/>
        </w:rPr>
        <w:t>(1), 23–41. https://doi.org/10.1111/josi.12202</w:t>
      </w:r>
    </w:p>
    <w:p w14:paraId="023CFCF6" w14:textId="77777777" w:rsidR="00B107AA" w:rsidRPr="00B107AA" w:rsidRDefault="00B107AA" w:rsidP="00F324F7">
      <w:pPr>
        <w:pStyle w:val="JANZSSAreferences"/>
        <w:rPr>
          <w:lang w:val="en-ID"/>
        </w:rPr>
      </w:pPr>
      <w:r w:rsidRPr="00B107AA">
        <w:rPr>
          <w:lang w:val="en-ID"/>
        </w:rPr>
        <w:t xml:space="preserve">Kember, D., Lee, K., &amp; Li, N. (2001). Cultivating a sense of belonging in part-time students. </w:t>
      </w:r>
      <w:r w:rsidRPr="00B107AA">
        <w:rPr>
          <w:i/>
          <w:iCs/>
          <w:lang w:val="en-ID"/>
        </w:rPr>
        <w:t>International Journal of Lifelong Education</w:t>
      </w:r>
      <w:r w:rsidRPr="00B107AA">
        <w:rPr>
          <w:lang w:val="en-ID"/>
        </w:rPr>
        <w:t xml:space="preserve">, </w:t>
      </w:r>
      <w:r w:rsidRPr="00B107AA">
        <w:rPr>
          <w:i/>
          <w:iCs/>
          <w:lang w:val="en-ID"/>
        </w:rPr>
        <w:t>20</w:t>
      </w:r>
      <w:r w:rsidRPr="00B107AA">
        <w:rPr>
          <w:lang w:val="en-ID"/>
        </w:rPr>
        <w:t>(4), 326–341. https://doi.org/10.1080/02601370110048809</w:t>
      </w:r>
    </w:p>
    <w:p w14:paraId="78C11832" w14:textId="77777777" w:rsidR="00B107AA" w:rsidRPr="00B107AA" w:rsidRDefault="00B107AA" w:rsidP="00F324F7">
      <w:pPr>
        <w:pStyle w:val="JANZSSAreferences"/>
        <w:rPr>
          <w:lang w:val="en-ID"/>
        </w:rPr>
      </w:pPr>
      <w:r w:rsidRPr="00B107AA">
        <w:rPr>
          <w:lang w:val="en-ID"/>
        </w:rPr>
        <w:t xml:space="preserve">Kenyon, S. (2011). Transport and social exclusion: Access to higher education in the UK policy context. </w:t>
      </w:r>
      <w:r w:rsidRPr="00B107AA">
        <w:rPr>
          <w:i/>
          <w:iCs/>
          <w:lang w:val="en-ID"/>
        </w:rPr>
        <w:t>Journal of Transport Geography</w:t>
      </w:r>
      <w:r w:rsidRPr="00B107AA">
        <w:rPr>
          <w:lang w:val="en-ID"/>
        </w:rPr>
        <w:t xml:space="preserve">, </w:t>
      </w:r>
      <w:r w:rsidRPr="00B107AA">
        <w:rPr>
          <w:i/>
          <w:iCs/>
          <w:lang w:val="en-ID"/>
        </w:rPr>
        <w:t>19</w:t>
      </w:r>
      <w:r w:rsidRPr="00B107AA">
        <w:rPr>
          <w:lang w:val="en-ID"/>
        </w:rPr>
        <w:t>(4), 763–771. https://doi.org/10.1016/j.jtrangeo.2010.09.005</w:t>
      </w:r>
    </w:p>
    <w:p w14:paraId="22CA242A" w14:textId="77777777" w:rsidR="00B107AA" w:rsidRPr="00B107AA" w:rsidRDefault="00B107AA" w:rsidP="00F324F7">
      <w:pPr>
        <w:pStyle w:val="JANZSSAreferences"/>
        <w:rPr>
          <w:lang w:val="en-ID"/>
        </w:rPr>
      </w:pPr>
      <w:r w:rsidRPr="00B107AA">
        <w:rPr>
          <w:lang w:val="en-ID"/>
        </w:rPr>
        <w:t xml:space="preserve">Kim, E. J. (2022). Analyzing the factors of college life adaptation and dropout: A South Korean context. </w:t>
      </w:r>
      <w:r w:rsidRPr="00B107AA">
        <w:rPr>
          <w:i/>
          <w:iCs/>
          <w:lang w:val="en-ID"/>
        </w:rPr>
        <w:t>Rupkatha Journal on Interdisciplinary Studies in Humanities</w:t>
      </w:r>
      <w:r w:rsidRPr="00B107AA">
        <w:rPr>
          <w:lang w:val="en-ID"/>
        </w:rPr>
        <w:t xml:space="preserve">, </w:t>
      </w:r>
      <w:r w:rsidRPr="00B107AA">
        <w:rPr>
          <w:i/>
          <w:iCs/>
          <w:lang w:val="en-ID"/>
        </w:rPr>
        <w:t>14</w:t>
      </w:r>
      <w:r w:rsidRPr="00B107AA">
        <w:rPr>
          <w:lang w:val="en-ID"/>
        </w:rPr>
        <w:t>(4), 1–19. https://doi.org/10.21659/rupkatha.v14n4.33</w:t>
      </w:r>
    </w:p>
    <w:p w14:paraId="3FDA1C53" w14:textId="77777777" w:rsidR="00B107AA" w:rsidRPr="00B107AA" w:rsidRDefault="00B107AA" w:rsidP="00F324F7">
      <w:pPr>
        <w:pStyle w:val="JANZSSAreferences"/>
        <w:rPr>
          <w:lang w:val="en-ID"/>
        </w:rPr>
      </w:pPr>
      <w:r w:rsidRPr="00B107AA">
        <w:rPr>
          <w:lang w:val="en-ID"/>
        </w:rPr>
        <w:t xml:space="preserve">Kirk, C. M., &amp; Lewis, R. K. (2015). Sense of community on an urban, commuter campus. </w:t>
      </w:r>
      <w:r w:rsidRPr="00B107AA">
        <w:rPr>
          <w:i/>
          <w:iCs/>
          <w:lang w:val="en-ID"/>
        </w:rPr>
        <w:t>International Journal of Adolescence and Youth</w:t>
      </w:r>
      <w:r w:rsidRPr="00B107AA">
        <w:rPr>
          <w:lang w:val="en-ID"/>
        </w:rPr>
        <w:t xml:space="preserve">, </w:t>
      </w:r>
      <w:r w:rsidRPr="00B107AA">
        <w:rPr>
          <w:i/>
          <w:iCs/>
          <w:lang w:val="en-ID"/>
        </w:rPr>
        <w:t>20</w:t>
      </w:r>
      <w:r w:rsidRPr="00B107AA">
        <w:rPr>
          <w:lang w:val="en-ID"/>
        </w:rPr>
        <w:t>(1), 48–60. https://doi.org/10.1080/02673843.2013.763833</w:t>
      </w:r>
    </w:p>
    <w:p w14:paraId="2D7D776B" w14:textId="77777777" w:rsidR="00B107AA" w:rsidRPr="00B107AA" w:rsidRDefault="00B107AA" w:rsidP="00F324F7">
      <w:pPr>
        <w:pStyle w:val="JANZSSAreferences"/>
        <w:rPr>
          <w:lang w:val="en-ID"/>
        </w:rPr>
      </w:pPr>
      <w:r w:rsidRPr="00B107AA">
        <w:rPr>
          <w:lang w:val="en-ID"/>
        </w:rPr>
        <w:t xml:space="preserve">Kline, R. B. (2016). </w:t>
      </w:r>
      <w:r w:rsidRPr="00B107AA">
        <w:rPr>
          <w:i/>
          <w:iCs/>
          <w:lang w:val="en-ID"/>
        </w:rPr>
        <w:t>Principles and practice of structural equation modeling</w:t>
      </w:r>
      <w:r w:rsidRPr="00B107AA">
        <w:rPr>
          <w:lang w:val="en-ID"/>
        </w:rPr>
        <w:t xml:space="preserve"> (4th ed.). The Guilford Press. </w:t>
      </w:r>
    </w:p>
    <w:p w14:paraId="415B007D" w14:textId="2001BFA8" w:rsidR="00B107AA" w:rsidRPr="00B107AA" w:rsidRDefault="00B107AA" w:rsidP="00F324F7">
      <w:pPr>
        <w:pStyle w:val="JANZSSAreferences"/>
        <w:rPr>
          <w:lang w:val="en-ID"/>
        </w:rPr>
      </w:pPr>
      <w:proofErr w:type="spellStart"/>
      <w:r w:rsidRPr="00B107AA">
        <w:rPr>
          <w:lang w:val="en-ID"/>
        </w:rPr>
        <w:t>Mattanah</w:t>
      </w:r>
      <w:proofErr w:type="spellEnd"/>
      <w:r w:rsidRPr="00B107AA">
        <w:rPr>
          <w:lang w:val="en-ID"/>
        </w:rPr>
        <w:t xml:space="preserve">, J. F., Lopez, F. G., &amp; Govern, J. M. (2011). The contributions of parental attachment bonds to college student development and adjustment: A meta-analytic review. </w:t>
      </w:r>
      <w:r w:rsidRPr="00B107AA">
        <w:rPr>
          <w:i/>
          <w:iCs/>
          <w:lang w:val="en-ID"/>
        </w:rPr>
        <w:t xml:space="preserve">Journal of </w:t>
      </w:r>
      <w:proofErr w:type="spellStart"/>
      <w:r w:rsidRPr="00B107AA">
        <w:rPr>
          <w:i/>
          <w:iCs/>
          <w:lang w:val="en-ID"/>
        </w:rPr>
        <w:t>Counseling</w:t>
      </w:r>
      <w:proofErr w:type="spellEnd"/>
      <w:r w:rsidRPr="00B107AA">
        <w:rPr>
          <w:i/>
          <w:iCs/>
          <w:lang w:val="en-ID"/>
        </w:rPr>
        <w:t xml:space="preserve"> Psychology</w:t>
      </w:r>
      <w:r w:rsidRPr="00B107AA">
        <w:rPr>
          <w:lang w:val="en-ID"/>
        </w:rPr>
        <w:t xml:space="preserve">, </w:t>
      </w:r>
      <w:r w:rsidRPr="00B107AA">
        <w:rPr>
          <w:i/>
          <w:iCs/>
          <w:lang w:val="en-ID"/>
        </w:rPr>
        <w:t>58</w:t>
      </w:r>
      <w:r w:rsidRPr="00B107AA">
        <w:rPr>
          <w:lang w:val="en-ID"/>
        </w:rPr>
        <w:t xml:space="preserve">(4), </w:t>
      </w:r>
      <w:r w:rsidR="00B17958">
        <w:rPr>
          <w:lang w:val="en-ID"/>
        </w:rPr>
        <w:t>565</w:t>
      </w:r>
      <w:r w:rsidR="00E97875">
        <w:rPr>
          <w:lang w:val="en-ID"/>
        </w:rPr>
        <w:t>–</w:t>
      </w:r>
      <w:r w:rsidR="00B17958">
        <w:rPr>
          <w:lang w:val="en-ID"/>
        </w:rPr>
        <w:t>596</w:t>
      </w:r>
      <w:r w:rsidRPr="00B107AA">
        <w:rPr>
          <w:lang w:val="en-ID"/>
        </w:rPr>
        <w:t>. https://doi.org/10.1037/a0024635</w:t>
      </w:r>
    </w:p>
    <w:p w14:paraId="5B2E933A" w14:textId="77777777" w:rsidR="00B107AA" w:rsidRPr="00B107AA" w:rsidRDefault="00B107AA" w:rsidP="00F324F7">
      <w:pPr>
        <w:pStyle w:val="JANZSSAreferences"/>
        <w:rPr>
          <w:lang w:val="en-ID"/>
        </w:rPr>
      </w:pPr>
      <w:r w:rsidRPr="00B107AA">
        <w:rPr>
          <w:lang w:val="en-ID"/>
        </w:rPr>
        <w:t xml:space="preserve">Maunder, R. E. (2017). Students’ peer relationships and their contribution to university adjustment: The need to belong in the university community. </w:t>
      </w:r>
      <w:r w:rsidRPr="00B107AA">
        <w:rPr>
          <w:i/>
          <w:iCs/>
          <w:lang w:val="en-ID"/>
        </w:rPr>
        <w:t>Journal of Further and Higher Education</w:t>
      </w:r>
      <w:r w:rsidRPr="00B107AA">
        <w:rPr>
          <w:lang w:val="en-ID"/>
        </w:rPr>
        <w:t xml:space="preserve">, </w:t>
      </w:r>
      <w:r w:rsidRPr="00B107AA">
        <w:rPr>
          <w:i/>
          <w:iCs/>
          <w:lang w:val="en-ID"/>
        </w:rPr>
        <w:t>42</w:t>
      </w:r>
      <w:r w:rsidRPr="00B107AA">
        <w:rPr>
          <w:lang w:val="en-ID"/>
        </w:rPr>
        <w:t>(6), 756–768. https://doi.org/10.1080/0309877X.2017.1311996</w:t>
      </w:r>
    </w:p>
    <w:p w14:paraId="24D2ED6A" w14:textId="1FDB7A97" w:rsidR="00B107AA" w:rsidRPr="00B107AA" w:rsidRDefault="00B107AA" w:rsidP="00F324F7">
      <w:pPr>
        <w:pStyle w:val="JANZSSAreferences"/>
        <w:rPr>
          <w:lang w:val="en-ID"/>
        </w:rPr>
      </w:pPr>
      <w:r w:rsidRPr="00B107AA">
        <w:rPr>
          <w:lang w:val="en-ID"/>
        </w:rPr>
        <w:t xml:space="preserve">McKenna, A. E., Doyle, M. M., &amp; Gillen, A. M. C. (2016). A multiple indicators multiple causes (MIMIC) model of inattentive and hyperactive symptoms in a representative sample of British children and young people. </w:t>
      </w:r>
      <w:r w:rsidRPr="00B107AA">
        <w:rPr>
          <w:i/>
          <w:iCs/>
          <w:lang w:val="en-ID"/>
        </w:rPr>
        <w:t>Journal of Forensic Psychology</w:t>
      </w:r>
      <w:r w:rsidRPr="00B107AA">
        <w:rPr>
          <w:lang w:val="en-ID"/>
        </w:rPr>
        <w:t xml:space="preserve">, </w:t>
      </w:r>
      <w:r w:rsidRPr="00D72DA8">
        <w:rPr>
          <w:i/>
          <w:iCs/>
          <w:lang w:val="en-ID"/>
        </w:rPr>
        <w:t>1</w:t>
      </w:r>
      <w:r w:rsidRPr="00D72DA8">
        <w:rPr>
          <w:lang w:val="en-ID"/>
        </w:rPr>
        <w:t xml:space="preserve">(1), </w:t>
      </w:r>
      <w:r w:rsidR="00E97875">
        <w:rPr>
          <w:lang w:val="en-ID"/>
        </w:rPr>
        <w:t>Article 102</w:t>
      </w:r>
      <w:r w:rsidRPr="00D72DA8">
        <w:rPr>
          <w:lang w:val="en-ID"/>
        </w:rPr>
        <w:t xml:space="preserve">. </w:t>
      </w:r>
      <w:r w:rsidR="00C91453" w:rsidRPr="00C91453">
        <w:rPr>
          <w:lang w:val="en-ID"/>
        </w:rPr>
        <w:t>https://www.semanticscholar.org/paper/A-Multiple-Indicators-Multiple-Causes-%28Mimic%29-Model-McKenna-Doyle/3201df38da1f4bf8f00a1662d5088e034fd6254a</w:t>
      </w:r>
    </w:p>
    <w:p w14:paraId="4AEAD113" w14:textId="77777777" w:rsidR="00B107AA" w:rsidRPr="00B107AA" w:rsidRDefault="00B107AA" w:rsidP="00F324F7">
      <w:pPr>
        <w:pStyle w:val="JANZSSAreferences"/>
        <w:rPr>
          <w:lang w:val="en-ID"/>
        </w:rPr>
      </w:pPr>
      <w:proofErr w:type="spellStart"/>
      <w:r w:rsidRPr="00B107AA">
        <w:rPr>
          <w:lang w:val="en-ID"/>
        </w:rPr>
        <w:t>Menkor</w:t>
      </w:r>
      <w:proofErr w:type="spellEnd"/>
      <w:r w:rsidRPr="00B107AA">
        <w:rPr>
          <w:lang w:val="en-ID"/>
        </w:rPr>
        <w:t xml:space="preserve">, M., Nagengast, B., Van Laar, C., &amp; Sassenberg, K. (2021). The fit between dignity self-construal and independent university norms: Effects on university belonging, well-being, and academic success. </w:t>
      </w:r>
      <w:r w:rsidRPr="00B107AA">
        <w:rPr>
          <w:i/>
          <w:iCs/>
          <w:lang w:val="en-ID"/>
        </w:rPr>
        <w:t>European Journal of Social Psychology</w:t>
      </w:r>
      <w:r w:rsidRPr="00B107AA">
        <w:rPr>
          <w:lang w:val="en-ID"/>
        </w:rPr>
        <w:t xml:space="preserve">, </w:t>
      </w:r>
      <w:r w:rsidRPr="00B107AA">
        <w:rPr>
          <w:i/>
          <w:iCs/>
          <w:lang w:val="en-ID"/>
        </w:rPr>
        <w:t>51</w:t>
      </w:r>
      <w:r w:rsidRPr="00B107AA">
        <w:rPr>
          <w:lang w:val="en-ID"/>
        </w:rPr>
        <w:t>(1), 100–112. https://doi.org/10.1002/ejsp.2717</w:t>
      </w:r>
    </w:p>
    <w:p w14:paraId="2D63B060" w14:textId="61AB3CDC" w:rsidR="00B107AA" w:rsidRPr="00B107AA" w:rsidRDefault="00B107AA" w:rsidP="00F324F7">
      <w:pPr>
        <w:pStyle w:val="JANZSSAreferences"/>
        <w:rPr>
          <w:lang w:val="en-ID"/>
        </w:rPr>
      </w:pPr>
      <w:r w:rsidRPr="00B107AA">
        <w:rPr>
          <w:lang w:val="en-ID"/>
        </w:rPr>
        <w:t xml:space="preserve">Millán-franco, M., Gómez-Jacinto, L., </w:t>
      </w:r>
      <w:proofErr w:type="spellStart"/>
      <w:r w:rsidRPr="00B107AA">
        <w:rPr>
          <w:lang w:val="en-ID"/>
        </w:rPr>
        <w:t>Hombrados</w:t>
      </w:r>
      <w:proofErr w:type="spellEnd"/>
      <w:r w:rsidRPr="00B107AA">
        <w:rPr>
          <w:lang w:val="en-ID"/>
        </w:rPr>
        <w:t xml:space="preserve">-Mendieta, I., González-Castro, F., &amp; García-Cid, A. (2019). The effect of length of residence and geographical origin on the social inclusion of immigrants. </w:t>
      </w:r>
      <w:r w:rsidRPr="00B107AA">
        <w:rPr>
          <w:i/>
          <w:iCs/>
          <w:lang w:val="en-ID"/>
        </w:rPr>
        <w:t>Psychosocial Intervention</w:t>
      </w:r>
      <w:r w:rsidRPr="00B107AA">
        <w:rPr>
          <w:lang w:val="en-ID"/>
        </w:rPr>
        <w:t xml:space="preserve">, </w:t>
      </w:r>
      <w:r w:rsidRPr="00B107AA">
        <w:rPr>
          <w:i/>
          <w:iCs/>
          <w:lang w:val="en-ID"/>
        </w:rPr>
        <w:t>28</w:t>
      </w:r>
      <w:r w:rsidRPr="00B107AA">
        <w:rPr>
          <w:lang w:val="en-ID"/>
        </w:rPr>
        <w:t>(3), 119–130.</w:t>
      </w:r>
      <w:r w:rsidR="001E3FDF" w:rsidRPr="001E3FDF">
        <w:t xml:space="preserve"> </w:t>
      </w:r>
      <w:r w:rsidR="001E3FDF" w:rsidRPr="001E3FDF">
        <w:rPr>
          <w:lang w:val="en-ID"/>
        </w:rPr>
        <w:t>https://doi.org/10.5093/pi2019a10</w:t>
      </w:r>
    </w:p>
    <w:p w14:paraId="647230FC" w14:textId="222DFEC2" w:rsidR="00B107AA" w:rsidRPr="00B107AA" w:rsidRDefault="00D656F2" w:rsidP="00F324F7">
      <w:pPr>
        <w:pStyle w:val="JANZSSAreferences"/>
        <w:rPr>
          <w:lang w:val="en-ID"/>
        </w:rPr>
      </w:pPr>
      <w:r w:rsidRPr="00FE126E">
        <w:rPr>
          <w:lang w:val="en-ID"/>
        </w:rPr>
        <w:t>Ministry of Education, Culture, Research, and Technology</w:t>
      </w:r>
      <w:r w:rsidR="00B107AA" w:rsidRPr="00FE126E">
        <w:rPr>
          <w:lang w:val="en-ID"/>
        </w:rPr>
        <w:t xml:space="preserve">. (2023). </w:t>
      </w:r>
      <w:proofErr w:type="spellStart"/>
      <w:r w:rsidR="00B107AA" w:rsidRPr="00E97875">
        <w:rPr>
          <w:i/>
          <w:iCs/>
          <w:lang w:val="en-ID"/>
        </w:rPr>
        <w:t>Statistik</w:t>
      </w:r>
      <w:proofErr w:type="spellEnd"/>
      <w:r w:rsidR="00B107AA" w:rsidRPr="00E97875">
        <w:rPr>
          <w:i/>
          <w:iCs/>
          <w:lang w:val="en-ID"/>
        </w:rPr>
        <w:t xml:space="preserve"> </w:t>
      </w:r>
      <w:proofErr w:type="spellStart"/>
      <w:r w:rsidR="00B107AA" w:rsidRPr="00E97875">
        <w:rPr>
          <w:i/>
          <w:iCs/>
          <w:lang w:val="en-ID"/>
        </w:rPr>
        <w:t>pendidikan</w:t>
      </w:r>
      <w:proofErr w:type="spellEnd"/>
      <w:r w:rsidR="00B107AA" w:rsidRPr="00E97875">
        <w:rPr>
          <w:i/>
          <w:iCs/>
          <w:lang w:val="en-ID"/>
        </w:rPr>
        <w:t xml:space="preserve"> </w:t>
      </w:r>
      <w:proofErr w:type="spellStart"/>
      <w:r w:rsidR="00B107AA" w:rsidRPr="00E97875">
        <w:rPr>
          <w:i/>
          <w:iCs/>
          <w:lang w:val="en-ID"/>
        </w:rPr>
        <w:t>tinggi</w:t>
      </w:r>
      <w:proofErr w:type="spellEnd"/>
      <w:r w:rsidR="00B107AA" w:rsidRPr="00E97875">
        <w:rPr>
          <w:i/>
          <w:iCs/>
          <w:lang w:val="en-ID"/>
        </w:rPr>
        <w:t xml:space="preserve"> 2023</w:t>
      </w:r>
      <w:r w:rsidR="00FE126E">
        <w:rPr>
          <w:i/>
          <w:iCs/>
          <w:lang w:val="en-ID"/>
        </w:rPr>
        <w:t>:</w:t>
      </w:r>
      <w:r w:rsidR="00B107AA" w:rsidRPr="00FE126E">
        <w:rPr>
          <w:lang w:val="en-ID"/>
        </w:rPr>
        <w:t xml:space="preserve"> </w:t>
      </w:r>
      <w:r w:rsidR="00B107AA" w:rsidRPr="00FE126E">
        <w:rPr>
          <w:i/>
          <w:iCs/>
          <w:lang w:val="en-ID"/>
        </w:rPr>
        <w:t>Higher education statistics 2023</w:t>
      </w:r>
      <w:r w:rsidR="00B107AA" w:rsidRPr="00FE126E">
        <w:rPr>
          <w:lang w:val="en-ID"/>
        </w:rPr>
        <w:t>. Ministry of Education, Culture, Research, and Technology. https://pddikti.kemdiktisaintek.go.id/publikasi</w:t>
      </w:r>
    </w:p>
    <w:p w14:paraId="0BCE12C9" w14:textId="77777777" w:rsidR="00B107AA" w:rsidRPr="00B107AA" w:rsidRDefault="00B107AA" w:rsidP="00F324F7">
      <w:pPr>
        <w:pStyle w:val="JANZSSAreferences"/>
        <w:rPr>
          <w:lang w:val="en-ID"/>
        </w:rPr>
      </w:pPr>
      <w:r w:rsidRPr="00B107AA">
        <w:rPr>
          <w:lang w:val="en-ID"/>
        </w:rPr>
        <w:lastRenderedPageBreak/>
        <w:t xml:space="preserve">Montoya, A. K., &amp; Jeon, M. (2020). MIMIC models for uniform and nonuniform DIF as moderated mediation models. </w:t>
      </w:r>
      <w:r w:rsidRPr="00B107AA">
        <w:rPr>
          <w:i/>
          <w:iCs/>
          <w:lang w:val="en-ID"/>
        </w:rPr>
        <w:t>Applied Psychological Measurement</w:t>
      </w:r>
      <w:r w:rsidRPr="00B107AA">
        <w:rPr>
          <w:lang w:val="en-ID"/>
        </w:rPr>
        <w:t xml:space="preserve">, </w:t>
      </w:r>
      <w:r w:rsidRPr="00B107AA">
        <w:rPr>
          <w:i/>
          <w:iCs/>
          <w:lang w:val="en-ID"/>
        </w:rPr>
        <w:t>44</w:t>
      </w:r>
      <w:r w:rsidRPr="00B107AA">
        <w:rPr>
          <w:lang w:val="en-ID"/>
        </w:rPr>
        <w:t>(2), 118–136. https://doi.org/10.1177/0146621619835496</w:t>
      </w:r>
    </w:p>
    <w:p w14:paraId="7BB35752" w14:textId="2E3BE5A5" w:rsidR="00B107AA" w:rsidRPr="00B107AA" w:rsidRDefault="00B107AA" w:rsidP="00F324F7">
      <w:pPr>
        <w:pStyle w:val="JANZSSAreferences"/>
        <w:rPr>
          <w:lang w:val="en-ID"/>
        </w:rPr>
      </w:pPr>
      <w:proofErr w:type="spellStart"/>
      <w:r w:rsidRPr="00B107AA">
        <w:rPr>
          <w:lang w:val="en-ID"/>
        </w:rPr>
        <w:t>Muthén</w:t>
      </w:r>
      <w:proofErr w:type="spellEnd"/>
      <w:r w:rsidRPr="00B107AA">
        <w:rPr>
          <w:lang w:val="en-ID"/>
        </w:rPr>
        <w:t xml:space="preserve">, B. O. (1989). Latent variable modeling in heterogeneous populations. </w:t>
      </w:r>
      <w:r w:rsidRPr="00B107AA">
        <w:rPr>
          <w:i/>
          <w:iCs/>
          <w:lang w:val="en-ID"/>
        </w:rPr>
        <w:t>Psychometrika</w:t>
      </w:r>
      <w:r w:rsidRPr="00B107AA">
        <w:rPr>
          <w:lang w:val="en-ID"/>
        </w:rPr>
        <w:t xml:space="preserve">, </w:t>
      </w:r>
      <w:r w:rsidRPr="00B107AA">
        <w:rPr>
          <w:i/>
          <w:iCs/>
          <w:lang w:val="en-ID"/>
        </w:rPr>
        <w:t>54</w:t>
      </w:r>
      <w:r w:rsidRPr="00B107AA">
        <w:rPr>
          <w:lang w:val="en-ID"/>
        </w:rPr>
        <w:t>(4), 557–585.</w:t>
      </w:r>
      <w:r w:rsidR="00721B72" w:rsidRPr="00721B72">
        <w:t xml:space="preserve"> </w:t>
      </w:r>
      <w:r w:rsidR="00721B72" w:rsidRPr="00721B72">
        <w:rPr>
          <w:lang w:val="en-ID"/>
        </w:rPr>
        <w:t>https://psycnet.apa.org/doi/10.1007/BF02296397</w:t>
      </w:r>
    </w:p>
    <w:p w14:paraId="2A29EEBC" w14:textId="77777777" w:rsidR="00B107AA" w:rsidRPr="00B107AA" w:rsidRDefault="00B107AA" w:rsidP="00F324F7">
      <w:pPr>
        <w:pStyle w:val="JANZSSAreferences"/>
        <w:rPr>
          <w:lang w:val="en-ID"/>
        </w:rPr>
      </w:pPr>
      <w:r w:rsidRPr="00B107AA">
        <w:rPr>
          <w:lang w:val="en-ID"/>
        </w:rPr>
        <w:t xml:space="preserve">Nieuwenhuis, J., &amp; Xu, J. (2021). Residential segregation and unequal access to schools. </w:t>
      </w:r>
      <w:r w:rsidRPr="00B107AA">
        <w:rPr>
          <w:i/>
          <w:iCs/>
          <w:lang w:val="en-ID"/>
        </w:rPr>
        <w:t>Social Inclusion</w:t>
      </w:r>
      <w:r w:rsidRPr="00B107AA">
        <w:rPr>
          <w:lang w:val="en-ID"/>
        </w:rPr>
        <w:t xml:space="preserve">, </w:t>
      </w:r>
      <w:r w:rsidRPr="00B107AA">
        <w:rPr>
          <w:i/>
          <w:iCs/>
          <w:lang w:val="en-ID"/>
        </w:rPr>
        <w:t>9</w:t>
      </w:r>
      <w:r w:rsidRPr="00B107AA">
        <w:rPr>
          <w:lang w:val="en-ID"/>
        </w:rPr>
        <w:t>(2), 142–153. https://doi.org/10.17645/si.v9i2.3606</w:t>
      </w:r>
    </w:p>
    <w:p w14:paraId="25B86536" w14:textId="77777777" w:rsidR="00B107AA" w:rsidRPr="00B107AA" w:rsidRDefault="00B107AA" w:rsidP="00F324F7">
      <w:pPr>
        <w:pStyle w:val="JANZSSAreferences"/>
        <w:rPr>
          <w:lang w:val="en-ID"/>
        </w:rPr>
      </w:pPr>
      <w:r w:rsidRPr="00B107AA">
        <w:rPr>
          <w:lang w:val="en-ID"/>
        </w:rPr>
        <w:t xml:space="preserve">Normand, S., Mikami, A. Y., </w:t>
      </w:r>
      <w:proofErr w:type="spellStart"/>
      <w:r w:rsidRPr="00B107AA">
        <w:rPr>
          <w:lang w:val="en-ID"/>
        </w:rPr>
        <w:t>Savalei</w:t>
      </w:r>
      <w:proofErr w:type="spellEnd"/>
      <w:r w:rsidRPr="00B107AA">
        <w:rPr>
          <w:lang w:val="en-ID"/>
        </w:rPr>
        <w:t xml:space="preserve">, V., &amp; </w:t>
      </w:r>
      <w:proofErr w:type="spellStart"/>
      <w:r w:rsidRPr="00B107AA">
        <w:rPr>
          <w:lang w:val="en-ID"/>
        </w:rPr>
        <w:t>Guiet</w:t>
      </w:r>
      <w:proofErr w:type="spellEnd"/>
      <w:r w:rsidRPr="00B107AA">
        <w:rPr>
          <w:lang w:val="en-ID"/>
        </w:rPr>
        <w:t xml:space="preserve">, J. (2020). A multiple indicators multiple causes (MIMIC) model of friendship quality and comorbidities in children with attention-deficit/hyperactivity disorder. </w:t>
      </w:r>
      <w:r w:rsidRPr="00B107AA">
        <w:rPr>
          <w:i/>
          <w:iCs/>
          <w:lang w:val="en-ID"/>
        </w:rPr>
        <w:t>Psychological Assessment</w:t>
      </w:r>
      <w:r w:rsidRPr="00B107AA">
        <w:rPr>
          <w:lang w:val="en-ID"/>
        </w:rPr>
        <w:t xml:space="preserve">, </w:t>
      </w:r>
      <w:r w:rsidRPr="00B107AA">
        <w:rPr>
          <w:i/>
          <w:iCs/>
          <w:lang w:val="en-ID"/>
        </w:rPr>
        <w:t>32</w:t>
      </w:r>
      <w:r w:rsidRPr="00B107AA">
        <w:rPr>
          <w:lang w:val="en-ID"/>
        </w:rPr>
        <w:t>(7), 698–704. https://doi.org/10.1037/pas0000824</w:t>
      </w:r>
    </w:p>
    <w:p w14:paraId="2E0F83F6" w14:textId="2A1E427F" w:rsidR="00B107AA" w:rsidRPr="00B107AA" w:rsidRDefault="00B107AA" w:rsidP="00F324F7">
      <w:pPr>
        <w:pStyle w:val="JANZSSAreferences"/>
        <w:rPr>
          <w:lang w:val="en-ID"/>
        </w:rPr>
      </w:pPr>
      <w:proofErr w:type="spellStart"/>
      <w:r w:rsidRPr="00B107AA">
        <w:rPr>
          <w:lang w:val="en-ID"/>
        </w:rPr>
        <w:t>Ostini</w:t>
      </w:r>
      <w:proofErr w:type="spellEnd"/>
      <w:r w:rsidRPr="00B107AA">
        <w:rPr>
          <w:lang w:val="en-ID"/>
        </w:rPr>
        <w:t xml:space="preserve">, J., Partridge, H., Kelly, K., Owen, S., &amp; Jeffries, S. (2020). Narratives of access: A critical exploration of how institutional interactions with students affect regional student participation in higher education. </w:t>
      </w:r>
      <w:r w:rsidRPr="00B107AA">
        <w:rPr>
          <w:i/>
          <w:iCs/>
          <w:lang w:val="en-ID"/>
        </w:rPr>
        <w:t>Student Success</w:t>
      </w:r>
      <w:r w:rsidRPr="00B107AA">
        <w:rPr>
          <w:lang w:val="en-ID"/>
        </w:rPr>
        <w:t xml:space="preserve">, </w:t>
      </w:r>
      <w:r w:rsidRPr="00B107AA">
        <w:rPr>
          <w:i/>
          <w:iCs/>
          <w:lang w:val="en-ID"/>
        </w:rPr>
        <w:t>11</w:t>
      </w:r>
      <w:r w:rsidRPr="00B107AA">
        <w:rPr>
          <w:lang w:val="en-ID"/>
        </w:rPr>
        <w:t>(</w:t>
      </w:r>
      <w:r w:rsidR="00721B72">
        <w:rPr>
          <w:lang w:val="en-ID"/>
        </w:rPr>
        <w:t>2</w:t>
      </w:r>
      <w:r w:rsidRPr="00B107AA">
        <w:rPr>
          <w:lang w:val="en-ID"/>
        </w:rPr>
        <w:t>), 60–71. https://doi.org/10.5204/ssj.v11i2.1334</w:t>
      </w:r>
    </w:p>
    <w:p w14:paraId="244648D0" w14:textId="3A7C5546" w:rsidR="00B107AA" w:rsidRPr="00B107AA" w:rsidRDefault="00B107AA" w:rsidP="00F324F7">
      <w:pPr>
        <w:pStyle w:val="JANZSSAreferences"/>
        <w:rPr>
          <w:lang w:val="en-ID"/>
        </w:rPr>
      </w:pPr>
      <w:r w:rsidRPr="00B107AA">
        <w:rPr>
          <w:lang w:val="en-ID"/>
        </w:rPr>
        <w:t xml:space="preserve">Ostrove, J. M., &amp; Long, S. M. (2007). Social class and belonging: Implications for college adjustment. </w:t>
      </w:r>
      <w:r w:rsidR="008E5A3A">
        <w:rPr>
          <w:i/>
          <w:iCs/>
          <w:lang w:val="en-ID"/>
        </w:rPr>
        <w:t xml:space="preserve">The </w:t>
      </w:r>
      <w:r w:rsidRPr="00B107AA">
        <w:rPr>
          <w:i/>
          <w:iCs/>
          <w:lang w:val="en-ID"/>
        </w:rPr>
        <w:t>Review of Higher Education</w:t>
      </w:r>
      <w:r w:rsidRPr="00B107AA">
        <w:rPr>
          <w:lang w:val="en-ID"/>
        </w:rPr>
        <w:t xml:space="preserve">, </w:t>
      </w:r>
      <w:r w:rsidRPr="00B107AA">
        <w:rPr>
          <w:i/>
          <w:iCs/>
          <w:lang w:val="en-ID"/>
        </w:rPr>
        <w:t>30</w:t>
      </w:r>
      <w:r w:rsidRPr="00B107AA">
        <w:rPr>
          <w:lang w:val="en-ID"/>
        </w:rPr>
        <w:t>(4), 363–389. https://doi.org/10.1353/rhe.2007.0028</w:t>
      </w:r>
    </w:p>
    <w:p w14:paraId="3764223D" w14:textId="77777777" w:rsidR="00B107AA" w:rsidRPr="00B107AA" w:rsidRDefault="00B107AA" w:rsidP="00F324F7">
      <w:pPr>
        <w:pStyle w:val="JANZSSAreferences"/>
        <w:rPr>
          <w:lang w:val="en-ID"/>
        </w:rPr>
      </w:pPr>
      <w:r w:rsidRPr="00B107AA">
        <w:rPr>
          <w:lang w:val="en-ID"/>
        </w:rPr>
        <w:t xml:space="preserve">Pedler, M. L., Willis, R., &amp; Nieuwoudt, J. E. (2022). A sense of belonging at university: Student retention, motivation and enjoyment. </w:t>
      </w:r>
      <w:r w:rsidRPr="00B107AA">
        <w:rPr>
          <w:i/>
          <w:iCs/>
          <w:lang w:val="en-ID"/>
        </w:rPr>
        <w:t>Journal of Further and Higher Education</w:t>
      </w:r>
      <w:r w:rsidRPr="00B107AA">
        <w:rPr>
          <w:lang w:val="en-ID"/>
        </w:rPr>
        <w:t xml:space="preserve">, </w:t>
      </w:r>
      <w:r w:rsidRPr="00B107AA">
        <w:rPr>
          <w:i/>
          <w:iCs/>
          <w:lang w:val="en-ID"/>
        </w:rPr>
        <w:t>46</w:t>
      </w:r>
      <w:r w:rsidRPr="00B107AA">
        <w:rPr>
          <w:lang w:val="en-ID"/>
        </w:rPr>
        <w:t>(3), 397–408. https://doi.org/10.1080/0309877X.2021.1955844</w:t>
      </w:r>
    </w:p>
    <w:p w14:paraId="17824D5D" w14:textId="77777777" w:rsidR="00B107AA" w:rsidRPr="00B107AA" w:rsidRDefault="00B107AA" w:rsidP="00F324F7">
      <w:pPr>
        <w:pStyle w:val="JANZSSAreferences"/>
        <w:rPr>
          <w:lang w:val="en-ID"/>
        </w:rPr>
      </w:pPr>
      <w:r w:rsidRPr="00B107AA">
        <w:rPr>
          <w:lang w:val="en-ID"/>
        </w:rPr>
        <w:t xml:space="preserve">Peng, H. (2023). The impacts of parenting style and education level of parents on learning motivation. </w:t>
      </w:r>
      <w:r w:rsidRPr="00B107AA">
        <w:rPr>
          <w:i/>
          <w:iCs/>
          <w:lang w:val="en-ID"/>
        </w:rPr>
        <w:t>Lecture Notes in Education Psychology and Public Media</w:t>
      </w:r>
      <w:r w:rsidRPr="00B107AA">
        <w:rPr>
          <w:lang w:val="en-ID"/>
        </w:rPr>
        <w:t xml:space="preserve">, </w:t>
      </w:r>
      <w:r w:rsidRPr="00B107AA">
        <w:rPr>
          <w:i/>
          <w:iCs/>
          <w:lang w:val="en-ID"/>
        </w:rPr>
        <w:t>25</w:t>
      </w:r>
      <w:r w:rsidRPr="00B107AA">
        <w:rPr>
          <w:lang w:val="en-ID"/>
        </w:rPr>
        <w:t>(1), 58–63. https://doi.org/10.54254/2753-7048/25/20230318</w:t>
      </w:r>
    </w:p>
    <w:p w14:paraId="7CDE9C08" w14:textId="41C1DC71" w:rsidR="00B107AA" w:rsidRPr="00B107AA" w:rsidRDefault="00B107AA" w:rsidP="00F324F7">
      <w:pPr>
        <w:pStyle w:val="JANZSSAreferences"/>
        <w:rPr>
          <w:lang w:val="en-ID"/>
        </w:rPr>
      </w:pPr>
      <w:r w:rsidRPr="00B107AA">
        <w:rPr>
          <w:lang w:val="en-ID"/>
        </w:rPr>
        <w:t xml:space="preserve">Pinto, A. F., Reed, N. P., &amp; Mjøen, O. M. (2024). Beyond the first week: Sustaining the feeling of social inclusion and sense of belonging for students. </w:t>
      </w:r>
      <w:r w:rsidRPr="00B107AA">
        <w:rPr>
          <w:i/>
          <w:iCs/>
          <w:lang w:val="en-ID"/>
        </w:rPr>
        <w:t>International Journal of Qualitative Studies on Health and Well-Being</w:t>
      </w:r>
      <w:r w:rsidRPr="00B107AA">
        <w:rPr>
          <w:lang w:val="en-ID"/>
        </w:rPr>
        <w:t xml:space="preserve">, </w:t>
      </w:r>
      <w:r w:rsidRPr="00B107AA">
        <w:rPr>
          <w:i/>
          <w:iCs/>
          <w:lang w:val="en-ID"/>
        </w:rPr>
        <w:t>19</w:t>
      </w:r>
      <w:r w:rsidRPr="00B107AA">
        <w:rPr>
          <w:lang w:val="en-ID"/>
        </w:rPr>
        <w:t>(1)</w:t>
      </w:r>
      <w:r w:rsidR="001E50EC">
        <w:rPr>
          <w:lang w:val="en-ID"/>
        </w:rPr>
        <w:t>,</w:t>
      </w:r>
      <w:r w:rsidRPr="00B107AA">
        <w:rPr>
          <w:lang w:val="en-ID"/>
        </w:rPr>
        <w:t xml:space="preserve"> Article 2421032. https://doi.org/10.1080/17482631.2024.2421032</w:t>
      </w:r>
    </w:p>
    <w:p w14:paraId="0314E867" w14:textId="77777777" w:rsidR="00B107AA" w:rsidRPr="00B107AA" w:rsidRDefault="00B107AA" w:rsidP="00F324F7">
      <w:pPr>
        <w:pStyle w:val="JANZSSAreferences"/>
        <w:rPr>
          <w:lang w:val="en-ID"/>
        </w:rPr>
      </w:pPr>
      <w:r w:rsidRPr="00B107AA">
        <w:rPr>
          <w:lang w:val="en-ID"/>
        </w:rPr>
        <w:t xml:space="preserve">Pokorny, H., Holley, D., &amp; Kane, S. (2017). Commuting, transitions and belonging: The experiences of students living at home in their first year at university. </w:t>
      </w:r>
      <w:r w:rsidRPr="00B107AA">
        <w:rPr>
          <w:i/>
          <w:iCs/>
          <w:lang w:val="en-ID"/>
        </w:rPr>
        <w:t>Higher Education</w:t>
      </w:r>
      <w:r w:rsidRPr="00B107AA">
        <w:rPr>
          <w:lang w:val="en-ID"/>
        </w:rPr>
        <w:t xml:space="preserve">, </w:t>
      </w:r>
      <w:r w:rsidRPr="00B107AA">
        <w:rPr>
          <w:i/>
          <w:iCs/>
          <w:lang w:val="en-ID"/>
        </w:rPr>
        <w:t>74</w:t>
      </w:r>
      <w:r w:rsidRPr="00B107AA">
        <w:rPr>
          <w:lang w:val="en-ID"/>
        </w:rPr>
        <w:t>(3), 543–558. https://doi.org/10.1007/s10734-016-0063-3</w:t>
      </w:r>
    </w:p>
    <w:p w14:paraId="542476E2" w14:textId="77777777" w:rsidR="00B107AA" w:rsidRPr="00B107AA" w:rsidRDefault="00B107AA" w:rsidP="00F324F7">
      <w:pPr>
        <w:pStyle w:val="JANZSSAreferences"/>
        <w:rPr>
          <w:lang w:val="en-ID"/>
        </w:rPr>
      </w:pPr>
      <w:r w:rsidRPr="00B107AA">
        <w:rPr>
          <w:lang w:val="en-ID"/>
        </w:rPr>
        <w:t xml:space="preserve">Ríos-Bedoya, C. F., Pomerleau, C. S., Neuman, R. J., &amp; Pomerleau, O. F. (2009). Using MIMIC models to examine the relationship between current smoking and early smoking experiences. </w:t>
      </w:r>
      <w:r w:rsidRPr="00B107AA">
        <w:rPr>
          <w:i/>
          <w:iCs/>
          <w:lang w:val="en-ID"/>
        </w:rPr>
        <w:t>Nicotine and Tobacco Research</w:t>
      </w:r>
      <w:r w:rsidRPr="00B107AA">
        <w:rPr>
          <w:lang w:val="en-ID"/>
        </w:rPr>
        <w:t xml:space="preserve">, </w:t>
      </w:r>
      <w:r w:rsidRPr="00B107AA">
        <w:rPr>
          <w:i/>
          <w:iCs/>
          <w:lang w:val="en-ID"/>
        </w:rPr>
        <w:t>11</w:t>
      </w:r>
      <w:r w:rsidRPr="00B107AA">
        <w:rPr>
          <w:lang w:val="en-ID"/>
        </w:rPr>
        <w:t>(9), 1035–1041. https://doi.org/10.1093/ntr/ntp093</w:t>
      </w:r>
    </w:p>
    <w:p w14:paraId="15F1902D" w14:textId="77777777" w:rsidR="00B107AA" w:rsidRPr="00B107AA" w:rsidRDefault="00B107AA" w:rsidP="00F324F7">
      <w:pPr>
        <w:pStyle w:val="JANZSSAreferences"/>
        <w:rPr>
          <w:lang w:val="en-ID"/>
        </w:rPr>
      </w:pPr>
      <w:r w:rsidRPr="00B107AA">
        <w:rPr>
          <w:lang w:val="en-ID"/>
        </w:rPr>
        <w:t xml:space="preserve">Rubio, D. M. G., Berg-Weger, M., </w:t>
      </w:r>
      <w:proofErr w:type="spellStart"/>
      <w:r w:rsidRPr="00B107AA">
        <w:rPr>
          <w:lang w:val="en-ID"/>
        </w:rPr>
        <w:t>Tebb</w:t>
      </w:r>
      <w:proofErr w:type="spellEnd"/>
      <w:r w:rsidRPr="00B107AA">
        <w:rPr>
          <w:lang w:val="en-ID"/>
        </w:rPr>
        <w:t xml:space="preserve">, S. S., &amp; Rauch, S. M. (2003). Validating a measure across groups: The use of MIMIC models in scale development. </w:t>
      </w:r>
      <w:r w:rsidRPr="00B107AA">
        <w:rPr>
          <w:i/>
          <w:iCs/>
          <w:lang w:val="en-ID"/>
        </w:rPr>
        <w:t>Journal of Social Service Research</w:t>
      </w:r>
      <w:r w:rsidRPr="00B107AA">
        <w:rPr>
          <w:lang w:val="en-ID"/>
        </w:rPr>
        <w:t xml:space="preserve">, </w:t>
      </w:r>
      <w:r w:rsidRPr="00B107AA">
        <w:rPr>
          <w:i/>
          <w:iCs/>
          <w:lang w:val="en-ID"/>
        </w:rPr>
        <w:t>29</w:t>
      </w:r>
      <w:r w:rsidRPr="00B107AA">
        <w:rPr>
          <w:lang w:val="en-ID"/>
        </w:rPr>
        <w:t>(3), 53–67. https://doi.org/10.1300/J079v29n03_03</w:t>
      </w:r>
    </w:p>
    <w:p w14:paraId="6F34D12E" w14:textId="77777777" w:rsidR="00B107AA" w:rsidRPr="00B107AA" w:rsidRDefault="00B107AA" w:rsidP="00F324F7">
      <w:pPr>
        <w:pStyle w:val="JANZSSAreferences"/>
        <w:rPr>
          <w:lang w:val="en-ID"/>
        </w:rPr>
      </w:pPr>
      <w:r w:rsidRPr="00B107AA">
        <w:rPr>
          <w:lang w:val="en-ID"/>
        </w:rPr>
        <w:t xml:space="preserve">Sasmita, N. O. (2022). MIMIC model of problematic internet </w:t>
      </w:r>
      <w:proofErr w:type="gramStart"/>
      <w:r w:rsidRPr="00B107AA">
        <w:rPr>
          <w:lang w:val="en-ID"/>
        </w:rPr>
        <w:t>use</w:t>
      </w:r>
      <w:proofErr w:type="gramEnd"/>
      <w:r w:rsidRPr="00B107AA">
        <w:rPr>
          <w:lang w:val="en-ID"/>
        </w:rPr>
        <w:t xml:space="preserve"> short form (PIUQ-SF 6) in Indonesia. </w:t>
      </w:r>
      <w:r w:rsidRPr="00B107AA">
        <w:rPr>
          <w:i/>
          <w:iCs/>
          <w:lang w:val="en-ID"/>
        </w:rPr>
        <w:t>Southeast Asia Psychology Journal</w:t>
      </w:r>
      <w:r w:rsidRPr="00B107AA">
        <w:rPr>
          <w:lang w:val="en-ID"/>
        </w:rPr>
        <w:t xml:space="preserve">, </w:t>
      </w:r>
      <w:r w:rsidRPr="00B107AA">
        <w:rPr>
          <w:i/>
          <w:iCs/>
          <w:lang w:val="en-ID"/>
        </w:rPr>
        <w:t>10</w:t>
      </w:r>
      <w:r w:rsidRPr="00B107AA">
        <w:rPr>
          <w:lang w:val="en-ID"/>
        </w:rPr>
        <w:t>(1), 113–123. http://www.cseap.edu.my/sapj/index.php/journal/full/10-1-9.pdf</w:t>
      </w:r>
    </w:p>
    <w:p w14:paraId="5849D2D0" w14:textId="77777777" w:rsidR="00B107AA" w:rsidRPr="00B107AA" w:rsidRDefault="00B107AA" w:rsidP="00F324F7">
      <w:pPr>
        <w:pStyle w:val="JANZSSAreferences"/>
        <w:rPr>
          <w:lang w:val="en-ID"/>
        </w:rPr>
      </w:pPr>
      <w:r w:rsidRPr="00B107AA">
        <w:rPr>
          <w:lang w:val="en-ID"/>
        </w:rPr>
        <w:t xml:space="preserve">Scannell, L., &amp; Gifford, R. (2010). Defining place attachment: A tripartite organizing framework. </w:t>
      </w:r>
      <w:r w:rsidRPr="00B107AA">
        <w:rPr>
          <w:i/>
          <w:iCs/>
          <w:lang w:val="en-ID"/>
        </w:rPr>
        <w:t>Journal of Environmental Psychology</w:t>
      </w:r>
      <w:r w:rsidRPr="00B107AA">
        <w:rPr>
          <w:lang w:val="en-ID"/>
        </w:rPr>
        <w:t xml:space="preserve">, </w:t>
      </w:r>
      <w:r w:rsidRPr="00B107AA">
        <w:rPr>
          <w:i/>
          <w:iCs/>
          <w:lang w:val="en-ID"/>
        </w:rPr>
        <w:t>30</w:t>
      </w:r>
      <w:r w:rsidRPr="00B107AA">
        <w:rPr>
          <w:lang w:val="en-ID"/>
        </w:rPr>
        <w:t>(1), 1–10. https://doi.org/10.1016/j.jenvp.2009.09.006</w:t>
      </w:r>
    </w:p>
    <w:p w14:paraId="23294E34" w14:textId="77777777" w:rsidR="00B107AA" w:rsidRPr="00B107AA" w:rsidRDefault="00B107AA" w:rsidP="00F324F7">
      <w:pPr>
        <w:pStyle w:val="JANZSSAreferences"/>
        <w:rPr>
          <w:lang w:val="en-ID"/>
        </w:rPr>
      </w:pPr>
      <w:proofErr w:type="spellStart"/>
      <w:r w:rsidRPr="00B107AA">
        <w:rPr>
          <w:lang w:val="en-ID"/>
        </w:rPr>
        <w:t>Sedaghatnia</w:t>
      </w:r>
      <w:proofErr w:type="spellEnd"/>
      <w:r w:rsidRPr="00B107AA">
        <w:rPr>
          <w:lang w:val="en-ID"/>
        </w:rPr>
        <w:t xml:space="preserve">, S., Lamit, H., Abdullah, A. S., &amp; </w:t>
      </w:r>
      <w:proofErr w:type="spellStart"/>
      <w:r w:rsidRPr="00B107AA">
        <w:rPr>
          <w:lang w:val="en-ID"/>
        </w:rPr>
        <w:t>Ghahramanpouri</w:t>
      </w:r>
      <w:proofErr w:type="spellEnd"/>
      <w:r w:rsidRPr="00B107AA">
        <w:rPr>
          <w:lang w:val="en-ID"/>
        </w:rPr>
        <w:t xml:space="preserve">, A. (2015). Experience of social inclusion among students in university campuses of Malaysia. </w:t>
      </w:r>
      <w:r w:rsidRPr="00B107AA">
        <w:rPr>
          <w:i/>
          <w:iCs/>
          <w:lang w:val="en-ID"/>
        </w:rPr>
        <w:t>Procedia - Social and Behavioral Sciences</w:t>
      </w:r>
      <w:r w:rsidRPr="00B107AA">
        <w:rPr>
          <w:lang w:val="en-ID"/>
        </w:rPr>
        <w:t xml:space="preserve">, </w:t>
      </w:r>
      <w:r w:rsidRPr="00B107AA">
        <w:rPr>
          <w:i/>
          <w:iCs/>
          <w:lang w:val="en-ID"/>
        </w:rPr>
        <w:t>170</w:t>
      </w:r>
      <w:r w:rsidRPr="00B107AA">
        <w:rPr>
          <w:lang w:val="en-ID"/>
        </w:rPr>
        <w:t>, 89–98. https://doi.org/10.1016/j.sbspro.2015.01.018</w:t>
      </w:r>
    </w:p>
    <w:p w14:paraId="02A9F62A" w14:textId="77777777" w:rsidR="00B107AA" w:rsidRPr="00B107AA" w:rsidRDefault="00B107AA" w:rsidP="00F324F7">
      <w:pPr>
        <w:pStyle w:val="JANZSSAreferences"/>
        <w:rPr>
          <w:lang w:val="en-ID"/>
        </w:rPr>
      </w:pPr>
      <w:r w:rsidRPr="00B107AA">
        <w:rPr>
          <w:lang w:val="en-ID"/>
        </w:rPr>
        <w:t xml:space="preserve">Soria, K. M., &amp; Stebleton, M. J. (2013). Social capital, academic engagement, and sense of belonging among working-class college students. </w:t>
      </w:r>
      <w:r w:rsidRPr="00B107AA">
        <w:rPr>
          <w:i/>
          <w:iCs/>
          <w:lang w:val="en-ID"/>
        </w:rPr>
        <w:t>College Student Affairs Journal</w:t>
      </w:r>
      <w:r w:rsidRPr="00B107AA">
        <w:rPr>
          <w:lang w:val="en-ID"/>
        </w:rPr>
        <w:t xml:space="preserve">, </w:t>
      </w:r>
      <w:r w:rsidRPr="00B107AA">
        <w:rPr>
          <w:i/>
          <w:iCs/>
          <w:lang w:val="en-ID"/>
        </w:rPr>
        <w:t>31</w:t>
      </w:r>
      <w:r w:rsidRPr="00B107AA">
        <w:rPr>
          <w:lang w:val="en-ID"/>
        </w:rPr>
        <w:t>(2), 139–153.</w:t>
      </w:r>
    </w:p>
    <w:p w14:paraId="4D55517E" w14:textId="77777777" w:rsidR="00B107AA" w:rsidRPr="00B107AA" w:rsidRDefault="00B107AA" w:rsidP="00F324F7">
      <w:pPr>
        <w:pStyle w:val="JANZSSAreferences"/>
        <w:rPr>
          <w:lang w:val="en-ID"/>
        </w:rPr>
      </w:pPr>
      <w:r w:rsidRPr="00B107AA">
        <w:rPr>
          <w:lang w:val="en-ID"/>
        </w:rPr>
        <w:t xml:space="preserve">Soria, K. M., &amp; Stubblefield, R. (2015). Knowing me, knowing you: Building strengths awareness, belonging, and persistence in higher education. </w:t>
      </w:r>
      <w:r w:rsidRPr="00B107AA">
        <w:rPr>
          <w:i/>
          <w:iCs/>
          <w:lang w:val="en-ID"/>
        </w:rPr>
        <w:t>Journal of College Student Retention: Research, Theory and Practice</w:t>
      </w:r>
      <w:r w:rsidRPr="00B107AA">
        <w:rPr>
          <w:lang w:val="en-ID"/>
        </w:rPr>
        <w:t xml:space="preserve">, </w:t>
      </w:r>
      <w:r w:rsidRPr="00B107AA">
        <w:rPr>
          <w:i/>
          <w:iCs/>
          <w:lang w:val="en-ID"/>
        </w:rPr>
        <w:t>17</w:t>
      </w:r>
      <w:r w:rsidRPr="00B107AA">
        <w:rPr>
          <w:lang w:val="en-ID"/>
        </w:rPr>
        <w:t>(3), 351–372. https://doi.org/10.1177/1521025115575914</w:t>
      </w:r>
    </w:p>
    <w:p w14:paraId="5D243D5E" w14:textId="77777777" w:rsidR="00B107AA" w:rsidRPr="00B107AA" w:rsidRDefault="00B107AA" w:rsidP="00F324F7">
      <w:pPr>
        <w:pStyle w:val="JANZSSAreferences"/>
        <w:rPr>
          <w:lang w:val="en-ID"/>
        </w:rPr>
      </w:pPr>
      <w:proofErr w:type="spellStart"/>
      <w:r w:rsidRPr="00B107AA">
        <w:rPr>
          <w:lang w:val="en-ID"/>
        </w:rPr>
        <w:t>Soylemez-Karakoc</w:t>
      </w:r>
      <w:proofErr w:type="spellEnd"/>
      <w:r w:rsidRPr="00B107AA">
        <w:rPr>
          <w:lang w:val="en-ID"/>
        </w:rPr>
        <w:t xml:space="preserve">, B., Jiang, X., &amp; Hussain, M. (2024). Social exclusion and conversion factors: The case of married international graduate students at one US university. </w:t>
      </w:r>
      <w:r w:rsidRPr="00B107AA">
        <w:rPr>
          <w:i/>
          <w:iCs/>
          <w:lang w:val="en-ID"/>
        </w:rPr>
        <w:t>Journal of International Students</w:t>
      </w:r>
      <w:r w:rsidRPr="00B107AA">
        <w:rPr>
          <w:lang w:val="en-ID"/>
        </w:rPr>
        <w:t xml:space="preserve">, </w:t>
      </w:r>
      <w:r w:rsidRPr="00B107AA">
        <w:rPr>
          <w:i/>
          <w:iCs/>
          <w:lang w:val="en-ID"/>
        </w:rPr>
        <w:t>14</w:t>
      </w:r>
      <w:r w:rsidRPr="00B107AA">
        <w:rPr>
          <w:lang w:val="en-ID"/>
        </w:rPr>
        <w:t>(1), 367–385. https://doi.org/10.32674/jis.v14i4.5159</w:t>
      </w:r>
    </w:p>
    <w:p w14:paraId="525333E3" w14:textId="77777777" w:rsidR="00B107AA" w:rsidRPr="00B107AA" w:rsidRDefault="00B107AA" w:rsidP="00F324F7">
      <w:pPr>
        <w:pStyle w:val="JANZSSAreferences"/>
        <w:rPr>
          <w:lang w:val="en-ID"/>
        </w:rPr>
      </w:pPr>
      <w:r w:rsidRPr="00B107AA">
        <w:rPr>
          <w:lang w:val="en-ID"/>
        </w:rPr>
        <w:t xml:space="preserve">Strayhorn, T. L. (2019). </w:t>
      </w:r>
      <w:r w:rsidRPr="00B107AA">
        <w:rPr>
          <w:i/>
          <w:iCs/>
          <w:lang w:val="en-ID"/>
        </w:rPr>
        <w:t>College students’ sense of belonging: A key to educational success for all students</w:t>
      </w:r>
      <w:r w:rsidRPr="00B107AA">
        <w:rPr>
          <w:lang w:val="en-ID"/>
        </w:rPr>
        <w:t xml:space="preserve"> (2nd ed.). Routledge.</w:t>
      </w:r>
    </w:p>
    <w:p w14:paraId="5CFA6527" w14:textId="77777777" w:rsidR="00B107AA" w:rsidRPr="00B107AA" w:rsidRDefault="00B107AA" w:rsidP="00F324F7">
      <w:pPr>
        <w:pStyle w:val="JANZSSAreferences"/>
        <w:rPr>
          <w:lang w:val="en-ID"/>
        </w:rPr>
      </w:pPr>
      <w:r w:rsidRPr="00B107AA">
        <w:rPr>
          <w:lang w:val="en-ID"/>
        </w:rPr>
        <w:lastRenderedPageBreak/>
        <w:t xml:space="preserve">Suhlmann, M., Sassenberg, K., Nagengast, B., &amp; Trautwein, U. (2018). Belonging mediates effects of student university fit on well-being, motivation, and dropout intention. </w:t>
      </w:r>
      <w:r w:rsidRPr="00B107AA">
        <w:rPr>
          <w:i/>
          <w:iCs/>
          <w:lang w:val="en-ID"/>
        </w:rPr>
        <w:t>Social Psychology</w:t>
      </w:r>
      <w:r w:rsidRPr="00B107AA">
        <w:rPr>
          <w:lang w:val="en-ID"/>
        </w:rPr>
        <w:t xml:space="preserve">, </w:t>
      </w:r>
      <w:r w:rsidRPr="00B107AA">
        <w:rPr>
          <w:i/>
          <w:iCs/>
          <w:lang w:val="en-ID"/>
        </w:rPr>
        <w:t>49(1)</w:t>
      </w:r>
      <w:r w:rsidRPr="00B107AA">
        <w:rPr>
          <w:lang w:val="en-ID"/>
        </w:rPr>
        <w:t>, 16–28. https://doi.org/10.1027/1864-9335/a000325</w:t>
      </w:r>
    </w:p>
    <w:p w14:paraId="0D077345" w14:textId="458364D6" w:rsidR="00B107AA" w:rsidRPr="00B107AA" w:rsidRDefault="00B107AA" w:rsidP="00E97875">
      <w:pPr>
        <w:pStyle w:val="JANZSSAreferences"/>
        <w:tabs>
          <w:tab w:val="left" w:pos="6300"/>
        </w:tabs>
        <w:rPr>
          <w:lang w:val="en-ID"/>
        </w:rPr>
      </w:pPr>
      <w:r w:rsidRPr="00B107AA">
        <w:rPr>
          <w:lang w:val="en-ID"/>
        </w:rPr>
        <w:t xml:space="preserve">Sullivan, T. C. (2013). </w:t>
      </w:r>
      <w:r w:rsidRPr="00B107AA">
        <w:rPr>
          <w:i/>
          <w:iCs/>
          <w:lang w:val="en-ID"/>
        </w:rPr>
        <w:t>Place of residence: Understanding the impact on interactions and relationships with peers, faculty, and diverse others among senior student</w:t>
      </w:r>
      <w:r w:rsidR="009D26B0">
        <w:rPr>
          <w:i/>
          <w:iCs/>
          <w:lang w:val="en-ID"/>
        </w:rPr>
        <w:t>s</w:t>
      </w:r>
      <w:r w:rsidRPr="00B107AA">
        <w:rPr>
          <w:lang w:val="en-ID"/>
        </w:rPr>
        <w:t xml:space="preserve"> [</w:t>
      </w:r>
      <w:r w:rsidR="009D26B0">
        <w:rPr>
          <w:lang w:val="en-ID"/>
        </w:rPr>
        <w:t>Doctoral dissertation</w:t>
      </w:r>
      <w:r w:rsidRPr="00B107AA">
        <w:rPr>
          <w:lang w:val="en-ID"/>
        </w:rPr>
        <w:t>, University of Michigan]. Deep Blue. https://deepblue.lib.umich.edu/bitstream/handle/2027.42/97991/tcsulliv_1.pdf?sequence=1&amp;isAllowed=y</w:t>
      </w:r>
    </w:p>
    <w:p w14:paraId="71DDD955" w14:textId="77777777" w:rsidR="00B107AA" w:rsidRPr="00B107AA" w:rsidRDefault="00B107AA" w:rsidP="00F324F7">
      <w:pPr>
        <w:pStyle w:val="JANZSSAreferences"/>
        <w:rPr>
          <w:lang w:val="en-ID"/>
        </w:rPr>
      </w:pPr>
      <w:r w:rsidRPr="00B107AA">
        <w:rPr>
          <w:lang w:val="en-ID"/>
        </w:rPr>
        <w:t xml:space="preserve">Tinto, V. (1975). Dropout from higher education: A theoretical synthesis of recent research. </w:t>
      </w:r>
      <w:r w:rsidRPr="00B107AA">
        <w:rPr>
          <w:i/>
          <w:iCs/>
          <w:lang w:val="en-ID"/>
        </w:rPr>
        <w:t>Review of Educational Research</w:t>
      </w:r>
      <w:r w:rsidRPr="00B107AA">
        <w:rPr>
          <w:lang w:val="en-ID"/>
        </w:rPr>
        <w:t xml:space="preserve">, </w:t>
      </w:r>
      <w:r w:rsidRPr="00B107AA">
        <w:rPr>
          <w:i/>
          <w:iCs/>
          <w:lang w:val="en-ID"/>
        </w:rPr>
        <w:t>45</w:t>
      </w:r>
      <w:r w:rsidRPr="00B107AA">
        <w:rPr>
          <w:lang w:val="en-ID"/>
        </w:rPr>
        <w:t>(1), 89–125. https://doi.org/10.3102/00346543045001089</w:t>
      </w:r>
    </w:p>
    <w:p w14:paraId="66E785B7" w14:textId="77777777" w:rsidR="00B107AA" w:rsidRPr="00B107AA" w:rsidRDefault="00B107AA" w:rsidP="00F324F7">
      <w:pPr>
        <w:pStyle w:val="JANZSSAreferences"/>
        <w:rPr>
          <w:lang w:val="en-ID"/>
        </w:rPr>
      </w:pPr>
      <w:r w:rsidRPr="00B107AA">
        <w:rPr>
          <w:lang w:val="en-ID"/>
        </w:rPr>
        <w:t xml:space="preserve">Tinto, V. (1993). </w:t>
      </w:r>
      <w:r w:rsidRPr="00B107AA">
        <w:rPr>
          <w:i/>
          <w:iCs/>
          <w:lang w:val="en-ID"/>
        </w:rPr>
        <w:t>Leaving college: Rethinking the causes and cures of student attrition</w:t>
      </w:r>
      <w:r w:rsidRPr="00B107AA">
        <w:rPr>
          <w:lang w:val="en-ID"/>
        </w:rPr>
        <w:t xml:space="preserve"> (2nd ed.). University of Chicago Press.</w:t>
      </w:r>
    </w:p>
    <w:p w14:paraId="5B01B6CA" w14:textId="73A36D08" w:rsidR="00B107AA" w:rsidRPr="00B107AA" w:rsidRDefault="00B107AA" w:rsidP="00F324F7">
      <w:pPr>
        <w:pStyle w:val="JANZSSAreferences"/>
        <w:rPr>
          <w:lang w:val="en-ID"/>
        </w:rPr>
      </w:pPr>
      <w:r w:rsidRPr="00B107AA">
        <w:rPr>
          <w:lang w:val="en-ID"/>
        </w:rPr>
        <w:t xml:space="preserve">Tomás-Miquel, J.-V., &amp; Capó-Vicedo, J. (2022). Beyond cultural and geographical proximity: Delving into the factors that influence the dynamics of academic relationships between students in higher education. </w:t>
      </w:r>
      <w:r w:rsidRPr="00B107AA">
        <w:rPr>
          <w:i/>
          <w:iCs/>
          <w:lang w:val="en-ID"/>
        </w:rPr>
        <w:t>Higher Education</w:t>
      </w:r>
      <w:r w:rsidRPr="00B107AA">
        <w:rPr>
          <w:lang w:val="en-ID"/>
        </w:rPr>
        <w:t xml:space="preserve">, </w:t>
      </w:r>
      <w:r w:rsidRPr="00B107AA">
        <w:rPr>
          <w:i/>
          <w:iCs/>
          <w:lang w:val="en-ID"/>
        </w:rPr>
        <w:t>83</w:t>
      </w:r>
      <w:r w:rsidRPr="00B107AA">
        <w:rPr>
          <w:lang w:val="en-ID"/>
        </w:rPr>
        <w:t>(6), 1143–1162.</w:t>
      </w:r>
      <w:r w:rsidR="00DA250A" w:rsidRPr="00DA250A">
        <w:t xml:space="preserve"> </w:t>
      </w:r>
      <w:r w:rsidR="00DA250A" w:rsidRPr="00DA250A">
        <w:rPr>
          <w:lang w:val="en-ID"/>
        </w:rPr>
        <w:t>https://doi.org/10.1007/s10734-021-00734-3</w:t>
      </w:r>
    </w:p>
    <w:p w14:paraId="6BCE4024" w14:textId="5FC9AD1E" w:rsidR="00B107AA" w:rsidRPr="00B107AA" w:rsidRDefault="00B107AA" w:rsidP="00F324F7">
      <w:pPr>
        <w:pStyle w:val="JANZSSAreferences"/>
        <w:rPr>
          <w:lang w:val="en-ID"/>
        </w:rPr>
      </w:pPr>
      <w:r w:rsidRPr="00B107AA">
        <w:rPr>
          <w:lang w:val="en-ID"/>
        </w:rPr>
        <w:t xml:space="preserve">Tsaousis, I., </w:t>
      </w:r>
      <w:proofErr w:type="spellStart"/>
      <w:r w:rsidRPr="00B107AA">
        <w:rPr>
          <w:lang w:val="en-ID"/>
        </w:rPr>
        <w:t>Alahmandi</w:t>
      </w:r>
      <w:proofErr w:type="spellEnd"/>
      <w:r w:rsidRPr="00B107AA">
        <w:rPr>
          <w:lang w:val="en-ID"/>
        </w:rPr>
        <w:t xml:space="preserve">, M. T. S., &amp; Asiri, H. (2023). Uncovering differential item functioning effects using MIMIC and mediated MIMIC models. </w:t>
      </w:r>
      <w:r w:rsidRPr="00B107AA">
        <w:rPr>
          <w:i/>
          <w:iCs/>
          <w:lang w:val="en-ID"/>
        </w:rPr>
        <w:t>Frontiers in Psychology</w:t>
      </w:r>
      <w:r w:rsidRPr="00B107AA">
        <w:rPr>
          <w:lang w:val="en-ID"/>
        </w:rPr>
        <w:t xml:space="preserve">, </w:t>
      </w:r>
      <w:r w:rsidRPr="00B107AA">
        <w:rPr>
          <w:i/>
          <w:iCs/>
          <w:lang w:val="en-ID"/>
        </w:rPr>
        <w:t>14</w:t>
      </w:r>
      <w:r w:rsidRPr="00B107AA">
        <w:rPr>
          <w:lang w:val="en-ID"/>
        </w:rPr>
        <w:t xml:space="preserve">(October), </w:t>
      </w:r>
      <w:r w:rsidR="00DE0C6A">
        <w:rPr>
          <w:lang w:val="en-ID"/>
        </w:rPr>
        <w:t xml:space="preserve">Article </w:t>
      </w:r>
      <w:r w:rsidR="00DE0C6A" w:rsidRPr="00DE0C6A">
        <w:rPr>
          <w:lang w:val="en-ID"/>
        </w:rPr>
        <w:t>1268074</w:t>
      </w:r>
      <w:r w:rsidRPr="00B107AA">
        <w:rPr>
          <w:lang w:val="en-ID"/>
        </w:rPr>
        <w:t>. https://doi.org/10.3389/fpsyg.2023.1268074</w:t>
      </w:r>
    </w:p>
    <w:p w14:paraId="627FA055" w14:textId="1E839431" w:rsidR="00B107AA" w:rsidRPr="00B107AA" w:rsidRDefault="00B107AA" w:rsidP="00F324F7">
      <w:pPr>
        <w:pStyle w:val="JANZSSAreferences"/>
        <w:rPr>
          <w:lang w:val="en-ID"/>
        </w:rPr>
      </w:pPr>
      <w:r w:rsidRPr="00B107AA">
        <w:rPr>
          <w:lang w:val="en-ID"/>
        </w:rPr>
        <w:t xml:space="preserve">Tsaousis, I., </w:t>
      </w:r>
      <w:proofErr w:type="spellStart"/>
      <w:r w:rsidRPr="00B107AA">
        <w:rPr>
          <w:lang w:val="en-ID"/>
        </w:rPr>
        <w:t>Sideridis</w:t>
      </w:r>
      <w:proofErr w:type="spellEnd"/>
      <w:r w:rsidRPr="00B107AA">
        <w:rPr>
          <w:lang w:val="en-ID"/>
        </w:rPr>
        <w:t>, G. D., &amp; Al-</w:t>
      </w:r>
      <w:proofErr w:type="spellStart"/>
      <w:r w:rsidRPr="00B107AA">
        <w:rPr>
          <w:lang w:val="en-ID"/>
        </w:rPr>
        <w:t>Sadaawi</w:t>
      </w:r>
      <w:proofErr w:type="spellEnd"/>
      <w:r w:rsidRPr="00B107AA">
        <w:rPr>
          <w:lang w:val="en-ID"/>
        </w:rPr>
        <w:t xml:space="preserve">, A. (2018). An IRT-multiple indicators multiple causes (MIMIC) approach as a method of examining item response latency. </w:t>
      </w:r>
      <w:r w:rsidRPr="00B107AA">
        <w:rPr>
          <w:i/>
          <w:iCs/>
          <w:lang w:val="en-ID"/>
        </w:rPr>
        <w:t>Frontiers in Psychology</w:t>
      </w:r>
      <w:r w:rsidRPr="00B107AA">
        <w:rPr>
          <w:lang w:val="en-ID"/>
        </w:rPr>
        <w:t xml:space="preserve">, </w:t>
      </w:r>
      <w:r w:rsidRPr="00B107AA">
        <w:rPr>
          <w:i/>
          <w:iCs/>
          <w:lang w:val="en-ID"/>
        </w:rPr>
        <w:t>9</w:t>
      </w:r>
      <w:r w:rsidRPr="00B107AA">
        <w:rPr>
          <w:lang w:val="en-ID"/>
        </w:rPr>
        <w:t xml:space="preserve">, </w:t>
      </w:r>
      <w:r w:rsidR="00B5241C">
        <w:rPr>
          <w:lang w:val="en-ID"/>
        </w:rPr>
        <w:t>Article 2177</w:t>
      </w:r>
      <w:r w:rsidRPr="00B107AA">
        <w:rPr>
          <w:lang w:val="en-ID"/>
        </w:rPr>
        <w:t>. https://doi.org/10.3389/fpsyg.2018.02177</w:t>
      </w:r>
    </w:p>
    <w:p w14:paraId="5536D570" w14:textId="77777777" w:rsidR="00B107AA" w:rsidRPr="00B107AA" w:rsidRDefault="00B107AA" w:rsidP="00F324F7">
      <w:pPr>
        <w:pStyle w:val="JANZSSAreferences"/>
        <w:rPr>
          <w:lang w:val="en-ID"/>
        </w:rPr>
      </w:pPr>
      <w:proofErr w:type="spellStart"/>
      <w:r w:rsidRPr="00B107AA">
        <w:rPr>
          <w:lang w:val="en-ID"/>
        </w:rPr>
        <w:t>Uǧurlu</w:t>
      </w:r>
      <w:proofErr w:type="spellEnd"/>
      <w:r w:rsidRPr="00B107AA">
        <w:rPr>
          <w:lang w:val="en-ID"/>
        </w:rPr>
        <w:t xml:space="preserve">, S., &amp; Atar, B. (2020). Performances of MIMIC and logistic regression procedures in detecting DIF. </w:t>
      </w:r>
      <w:r w:rsidRPr="00B107AA">
        <w:rPr>
          <w:i/>
          <w:iCs/>
          <w:lang w:val="en-ID"/>
        </w:rPr>
        <w:t>Journal of Measurement and Evaluation in Education and Psychology</w:t>
      </w:r>
      <w:r w:rsidRPr="00B107AA">
        <w:rPr>
          <w:lang w:val="en-ID"/>
        </w:rPr>
        <w:t xml:space="preserve">, </w:t>
      </w:r>
      <w:r w:rsidRPr="00B107AA">
        <w:rPr>
          <w:i/>
          <w:iCs/>
          <w:lang w:val="en-ID"/>
        </w:rPr>
        <w:t>11</w:t>
      </w:r>
      <w:r w:rsidRPr="00B107AA">
        <w:rPr>
          <w:lang w:val="en-ID"/>
        </w:rPr>
        <w:t>(1), 1–12. https://doi.org/10.21031/epod.531509</w:t>
      </w:r>
    </w:p>
    <w:p w14:paraId="33A70D7E" w14:textId="7EFAA5BA" w:rsidR="00B107AA" w:rsidRPr="00B107AA" w:rsidRDefault="00B107AA" w:rsidP="00F324F7">
      <w:pPr>
        <w:pStyle w:val="JANZSSAreferences"/>
        <w:rPr>
          <w:lang w:val="en-ID"/>
        </w:rPr>
      </w:pPr>
      <w:r w:rsidRPr="00B107AA">
        <w:rPr>
          <w:lang w:val="en-ID"/>
        </w:rPr>
        <w:t xml:space="preserve">Wesselmann, E. D., Grzybowski, M. R., Steakley-Freeman, D. M., DeSouza, E. R., </w:t>
      </w:r>
      <w:proofErr w:type="spellStart"/>
      <w:r w:rsidRPr="00B107AA">
        <w:rPr>
          <w:lang w:val="en-ID"/>
        </w:rPr>
        <w:t>Nezlek</w:t>
      </w:r>
      <w:proofErr w:type="spellEnd"/>
      <w:r w:rsidRPr="00B107AA">
        <w:rPr>
          <w:lang w:val="en-ID"/>
        </w:rPr>
        <w:t xml:space="preserve">, J. B., &amp; Williams, K. D. (2016). Social exclusion in everyday life. In P. Riva &amp; J. Eck (Eds.), </w:t>
      </w:r>
      <w:r w:rsidRPr="00B107AA">
        <w:rPr>
          <w:i/>
          <w:iCs/>
          <w:lang w:val="en-ID"/>
        </w:rPr>
        <w:t xml:space="preserve">Social </w:t>
      </w:r>
      <w:r w:rsidR="00F81996">
        <w:rPr>
          <w:i/>
          <w:iCs/>
          <w:lang w:val="en-ID"/>
        </w:rPr>
        <w:t>e</w:t>
      </w:r>
      <w:r w:rsidRPr="00B107AA">
        <w:rPr>
          <w:i/>
          <w:iCs/>
          <w:lang w:val="en-ID"/>
        </w:rPr>
        <w:t>xclusion</w:t>
      </w:r>
      <w:r w:rsidRPr="00B107AA">
        <w:rPr>
          <w:lang w:val="en-ID"/>
        </w:rPr>
        <w:t xml:space="preserve"> (pp. </w:t>
      </w:r>
      <w:r w:rsidR="00F81996">
        <w:rPr>
          <w:lang w:val="en-ID"/>
        </w:rPr>
        <w:t>3</w:t>
      </w:r>
      <w:r w:rsidRPr="00B107AA">
        <w:rPr>
          <w:lang w:val="en-ID"/>
        </w:rPr>
        <w:t>–23). Springer. https://doi.org/10.1007/978-3-319-33033-4_1</w:t>
      </w:r>
    </w:p>
    <w:p w14:paraId="2ABD7284" w14:textId="77777777" w:rsidR="00B107AA" w:rsidRPr="00B107AA" w:rsidRDefault="00B107AA" w:rsidP="00F324F7">
      <w:pPr>
        <w:pStyle w:val="JANZSSAreferences"/>
        <w:rPr>
          <w:lang w:val="en-ID"/>
        </w:rPr>
      </w:pPr>
      <w:r w:rsidRPr="00B107AA">
        <w:rPr>
          <w:lang w:val="en-ID"/>
        </w:rPr>
        <w:t xml:space="preserve">Wilcox, P., Winn, S., &amp; Fyvie-Gauld, M. (2005). “It was nothing to do with the university, it was just the people”: The role of social support in the first-year experience of higher education. </w:t>
      </w:r>
      <w:r w:rsidRPr="00B107AA">
        <w:rPr>
          <w:i/>
          <w:iCs/>
          <w:lang w:val="en-ID"/>
        </w:rPr>
        <w:t>Studies in Higher Education</w:t>
      </w:r>
      <w:r w:rsidRPr="00B107AA">
        <w:rPr>
          <w:lang w:val="en-ID"/>
        </w:rPr>
        <w:t xml:space="preserve">, </w:t>
      </w:r>
      <w:r w:rsidRPr="00B107AA">
        <w:rPr>
          <w:i/>
          <w:iCs/>
          <w:lang w:val="en-ID"/>
        </w:rPr>
        <w:t>30</w:t>
      </w:r>
      <w:r w:rsidRPr="00B107AA">
        <w:rPr>
          <w:lang w:val="en-ID"/>
        </w:rPr>
        <w:t>(6), 707–722. https://doi.org/10.1080/03075070500340036</w:t>
      </w:r>
    </w:p>
    <w:p w14:paraId="40DF0054" w14:textId="77777777" w:rsidR="00B107AA" w:rsidRPr="00B107AA" w:rsidRDefault="00B107AA" w:rsidP="00F324F7">
      <w:pPr>
        <w:pStyle w:val="JANZSSAreferences"/>
        <w:rPr>
          <w:lang w:val="en-ID"/>
        </w:rPr>
      </w:pPr>
      <w:r w:rsidRPr="00B107AA">
        <w:rPr>
          <w:lang w:val="en-ID"/>
        </w:rPr>
        <w:t xml:space="preserve">Wilson, S., &amp; Gore, J. (2013). An attachment model of university connectedness. </w:t>
      </w:r>
      <w:r w:rsidRPr="00B107AA">
        <w:rPr>
          <w:i/>
          <w:iCs/>
          <w:lang w:val="en-ID"/>
        </w:rPr>
        <w:t>Journal of Experimental Education</w:t>
      </w:r>
      <w:r w:rsidRPr="00B107AA">
        <w:rPr>
          <w:lang w:val="en-ID"/>
        </w:rPr>
        <w:t xml:space="preserve">, </w:t>
      </w:r>
      <w:r w:rsidRPr="00B107AA">
        <w:rPr>
          <w:i/>
          <w:iCs/>
          <w:lang w:val="en-ID"/>
        </w:rPr>
        <w:t>81</w:t>
      </w:r>
      <w:r w:rsidRPr="00B107AA">
        <w:rPr>
          <w:lang w:val="en-ID"/>
        </w:rPr>
        <w:t>(2), 178–198. https://doi.org/10.1080/00220973.2012.699902</w:t>
      </w:r>
    </w:p>
    <w:p w14:paraId="461C7034" w14:textId="77777777" w:rsidR="00B107AA" w:rsidRPr="00B107AA" w:rsidRDefault="00B107AA" w:rsidP="00F324F7">
      <w:pPr>
        <w:pStyle w:val="JANZSSAreferences"/>
        <w:rPr>
          <w:lang w:val="en-ID"/>
        </w:rPr>
      </w:pPr>
      <w:r w:rsidRPr="00B107AA">
        <w:rPr>
          <w:lang w:val="en-ID"/>
        </w:rPr>
        <w:t xml:space="preserve">Woods, C. M., Oltmanns, T. F., &amp; </w:t>
      </w:r>
      <w:proofErr w:type="spellStart"/>
      <w:r w:rsidRPr="00B107AA">
        <w:rPr>
          <w:lang w:val="en-ID"/>
        </w:rPr>
        <w:t>Turkheimer</w:t>
      </w:r>
      <w:proofErr w:type="spellEnd"/>
      <w:r w:rsidRPr="00B107AA">
        <w:rPr>
          <w:lang w:val="en-ID"/>
        </w:rPr>
        <w:t xml:space="preserve">, E. (2009). Illustration of MIMIC-model DIF testing with the schedule for nonadaptive and adaptive personality. </w:t>
      </w:r>
      <w:r w:rsidRPr="00B107AA">
        <w:rPr>
          <w:i/>
          <w:iCs/>
          <w:lang w:val="en-ID"/>
        </w:rPr>
        <w:t>Journal of Psychopathology and Behavioral Assessment</w:t>
      </w:r>
      <w:r w:rsidRPr="00B107AA">
        <w:rPr>
          <w:lang w:val="en-ID"/>
        </w:rPr>
        <w:t xml:space="preserve">, </w:t>
      </w:r>
      <w:r w:rsidRPr="00B107AA">
        <w:rPr>
          <w:i/>
          <w:iCs/>
          <w:lang w:val="en-ID"/>
        </w:rPr>
        <w:t>31</w:t>
      </w:r>
      <w:r w:rsidRPr="00B107AA">
        <w:rPr>
          <w:lang w:val="en-ID"/>
        </w:rPr>
        <w:t>(4), 320–330. https://doi.org/10.1007/s10862-008-9118-9</w:t>
      </w:r>
    </w:p>
    <w:p w14:paraId="4C0964FD" w14:textId="6CA266A9" w:rsidR="00B107AA" w:rsidRPr="00B107AA" w:rsidRDefault="00B107AA" w:rsidP="00F324F7">
      <w:pPr>
        <w:pStyle w:val="JANZSSAreferences"/>
        <w:rPr>
          <w:lang w:val="en-ID"/>
        </w:rPr>
      </w:pPr>
      <w:r w:rsidRPr="00B107AA">
        <w:rPr>
          <w:lang w:val="en-ID"/>
        </w:rPr>
        <w:t xml:space="preserve">Xu, M., </w:t>
      </w:r>
      <w:r w:rsidR="000E3F6F">
        <w:rPr>
          <w:lang w:val="en-ID"/>
        </w:rPr>
        <w:t>d</w:t>
      </w:r>
      <w:r w:rsidR="000E3F6F" w:rsidRPr="00B107AA">
        <w:rPr>
          <w:lang w:val="en-ID"/>
        </w:rPr>
        <w:t xml:space="preserve">e </w:t>
      </w:r>
      <w:r w:rsidRPr="00B107AA">
        <w:rPr>
          <w:lang w:val="en-ID"/>
        </w:rPr>
        <w:t xml:space="preserve">Bakker, M., </w:t>
      </w:r>
      <w:proofErr w:type="spellStart"/>
      <w:r w:rsidRPr="00B107AA">
        <w:rPr>
          <w:lang w:val="en-ID"/>
        </w:rPr>
        <w:t>Strijker</w:t>
      </w:r>
      <w:proofErr w:type="spellEnd"/>
      <w:r w:rsidRPr="00B107AA">
        <w:rPr>
          <w:lang w:val="en-ID"/>
        </w:rPr>
        <w:t xml:space="preserve">, D., &amp; Wu, H. (2015). Effects of distance from home to campus on undergraduate place attachment and university experience in China. </w:t>
      </w:r>
      <w:r w:rsidRPr="00B107AA">
        <w:rPr>
          <w:i/>
          <w:iCs/>
          <w:lang w:val="en-ID"/>
        </w:rPr>
        <w:t>Journal of Environmental Psychology</w:t>
      </w:r>
      <w:r w:rsidRPr="00B107AA">
        <w:rPr>
          <w:lang w:val="en-ID"/>
        </w:rPr>
        <w:t xml:space="preserve">, </w:t>
      </w:r>
      <w:r w:rsidRPr="00B107AA">
        <w:rPr>
          <w:i/>
          <w:iCs/>
          <w:lang w:val="en-ID"/>
        </w:rPr>
        <w:t>43</w:t>
      </w:r>
      <w:r w:rsidRPr="00B107AA">
        <w:rPr>
          <w:lang w:val="en-ID"/>
        </w:rPr>
        <w:t>, 95–104. https://doi.org/10.1016/j.jenvp.2015.05.013</w:t>
      </w:r>
    </w:p>
    <w:p w14:paraId="1F741F8B" w14:textId="4B06EA56" w:rsidR="00B107AA" w:rsidRPr="00B107AA" w:rsidRDefault="00B107AA" w:rsidP="00F324F7">
      <w:pPr>
        <w:pStyle w:val="JANZSSAreferences"/>
        <w:rPr>
          <w:lang w:val="en-ID"/>
        </w:rPr>
      </w:pPr>
      <w:r w:rsidRPr="00B107AA">
        <w:rPr>
          <w:lang w:val="en-ID"/>
        </w:rPr>
        <w:t xml:space="preserve">Yin, Y., Yu, S., &amp; Sun, T. (2025). Heterogeneity in education-driven residential mobility: Evidence from Tianjin under China’s school district system. </w:t>
      </w:r>
      <w:r w:rsidRPr="00B107AA">
        <w:rPr>
          <w:i/>
          <w:iCs/>
          <w:lang w:val="en-ID"/>
        </w:rPr>
        <w:t>Sustainability</w:t>
      </w:r>
      <w:r w:rsidRPr="00B107AA">
        <w:rPr>
          <w:lang w:val="en-ID"/>
        </w:rPr>
        <w:t xml:space="preserve">, </w:t>
      </w:r>
      <w:r w:rsidRPr="00B107AA">
        <w:rPr>
          <w:i/>
          <w:iCs/>
          <w:lang w:val="en-ID"/>
        </w:rPr>
        <w:t>17</w:t>
      </w:r>
      <w:r w:rsidRPr="00E97875">
        <w:rPr>
          <w:lang w:val="en-ID"/>
        </w:rPr>
        <w:t>(18)</w:t>
      </w:r>
      <w:r w:rsidRPr="00B107AA">
        <w:rPr>
          <w:lang w:val="en-ID"/>
        </w:rPr>
        <w:t xml:space="preserve">, </w:t>
      </w:r>
      <w:r w:rsidR="004B6341">
        <w:rPr>
          <w:lang w:val="en-ID"/>
        </w:rPr>
        <w:t xml:space="preserve">Article </w:t>
      </w:r>
      <w:r w:rsidRPr="00B107AA">
        <w:rPr>
          <w:lang w:val="en-ID"/>
        </w:rPr>
        <w:t>8326. https://doi.org/10.3390/su17188326</w:t>
      </w:r>
    </w:p>
    <w:p w14:paraId="44EAE4F9" w14:textId="4F65B82B" w:rsidR="00B107AA" w:rsidRPr="00B107AA" w:rsidRDefault="00B107AA" w:rsidP="00F324F7">
      <w:pPr>
        <w:pStyle w:val="JANZSSAreferences"/>
        <w:rPr>
          <w:lang w:val="en-ID"/>
        </w:rPr>
      </w:pPr>
      <w:r w:rsidRPr="00B107AA">
        <w:rPr>
          <w:lang w:val="en-ID"/>
        </w:rPr>
        <w:t xml:space="preserve">Zhang, Z., Wang, Y., Wu, H., Zhou, Y., &amp; Peng, C. (2024). Direct and indirect effects of father-child attachment on academic burnout in college students. </w:t>
      </w:r>
      <w:r w:rsidRPr="00B107AA">
        <w:rPr>
          <w:i/>
          <w:iCs/>
          <w:lang w:val="en-ID"/>
        </w:rPr>
        <w:t>Frontiers in Psychology</w:t>
      </w:r>
      <w:r w:rsidRPr="00E97875">
        <w:rPr>
          <w:lang w:val="en-ID"/>
        </w:rPr>
        <w:t>,</w:t>
      </w:r>
      <w:r w:rsidRPr="00B107AA">
        <w:rPr>
          <w:i/>
          <w:iCs/>
          <w:lang w:val="en-ID"/>
        </w:rPr>
        <w:t xml:space="preserve"> 15</w:t>
      </w:r>
      <w:r w:rsidRPr="00E97875">
        <w:rPr>
          <w:lang w:val="en-ID"/>
        </w:rPr>
        <w:t>,</w:t>
      </w:r>
      <w:r w:rsidRPr="00B107AA">
        <w:rPr>
          <w:i/>
          <w:iCs/>
          <w:lang w:val="en-ID"/>
        </w:rPr>
        <w:t xml:space="preserve"> </w:t>
      </w:r>
      <w:r w:rsidR="00335A22">
        <w:rPr>
          <w:lang w:val="en-ID"/>
        </w:rPr>
        <w:t xml:space="preserve">Article </w:t>
      </w:r>
      <w:r w:rsidRPr="00E97875">
        <w:rPr>
          <w:lang w:val="en-ID"/>
        </w:rPr>
        <w:t>1345590</w:t>
      </w:r>
      <w:r w:rsidRPr="00B107AA">
        <w:rPr>
          <w:i/>
          <w:iCs/>
          <w:lang w:val="en-ID"/>
        </w:rPr>
        <w:t>.</w:t>
      </w:r>
      <w:r w:rsidRPr="00B107AA">
        <w:rPr>
          <w:lang w:val="en-ID"/>
        </w:rPr>
        <w:t xml:space="preserve"> https://doi.org/10.3389/fpsyg.2024.1345590</w:t>
      </w:r>
    </w:p>
    <w:p w14:paraId="2D9BBDC5" w14:textId="0B92ECE6" w:rsidR="000A3749" w:rsidRPr="00F324F7" w:rsidRDefault="00B107AA" w:rsidP="00F324F7">
      <w:pPr>
        <w:pStyle w:val="JANZSSAreferences"/>
        <w:rPr>
          <w:lang w:val="en-ID"/>
        </w:rPr>
      </w:pPr>
      <w:r w:rsidRPr="00B107AA">
        <w:rPr>
          <w:lang w:val="en-ID"/>
        </w:rPr>
        <w:t xml:space="preserve">Zinbarg, R. E., Revelle, W., Yovel, I., &amp; Li, W. (2005). Cronbach’s α, Revelle’s β, and McDonald’s </w:t>
      </w:r>
      <w:proofErr w:type="spellStart"/>
      <w:r w:rsidRPr="00B107AA">
        <w:rPr>
          <w:lang w:val="en-ID"/>
        </w:rPr>
        <w:t>ωH</w:t>
      </w:r>
      <w:proofErr w:type="spellEnd"/>
      <w:r w:rsidRPr="00B107AA">
        <w:rPr>
          <w:lang w:val="en-ID"/>
        </w:rPr>
        <w:t xml:space="preserve">: Their relations with each other and two alternative conceptualizations of reliability. </w:t>
      </w:r>
      <w:r w:rsidRPr="00B107AA">
        <w:rPr>
          <w:i/>
          <w:iCs/>
          <w:lang w:val="en-ID"/>
        </w:rPr>
        <w:t>Psychometrika</w:t>
      </w:r>
      <w:r w:rsidRPr="00B107AA">
        <w:rPr>
          <w:lang w:val="en-ID"/>
        </w:rPr>
        <w:t xml:space="preserve">, </w:t>
      </w:r>
      <w:r w:rsidRPr="00B107AA">
        <w:rPr>
          <w:i/>
          <w:iCs/>
          <w:lang w:val="en-ID"/>
        </w:rPr>
        <w:t>70</w:t>
      </w:r>
      <w:r w:rsidRPr="00B107AA">
        <w:rPr>
          <w:lang w:val="en-ID"/>
        </w:rPr>
        <w:t>(1), 123–133. https://doi.org/10.1007/s11336-003-0974-7</w:t>
      </w:r>
    </w:p>
    <w:p w14:paraId="27357349" w14:textId="77777777" w:rsidR="00BB7D85" w:rsidRPr="00176032" w:rsidRDefault="00BB7D85" w:rsidP="00176032">
      <w:pPr>
        <w:pStyle w:val="JANZSSABodyCopy10pt"/>
      </w:pPr>
    </w:p>
    <w:p w14:paraId="20E7FDA0" w14:textId="77777777" w:rsidR="00D756A2" w:rsidRDefault="00D756A2">
      <w:pPr>
        <w:rPr>
          <w:b/>
          <w:bCs/>
          <w:szCs w:val="20"/>
        </w:rPr>
      </w:pPr>
      <w:r>
        <w:rPr>
          <w:b/>
          <w:bCs/>
        </w:rPr>
        <w:br w:type="page"/>
      </w:r>
    </w:p>
    <w:p w14:paraId="66678581" w14:textId="03C1124E" w:rsidR="000411ED" w:rsidRPr="00BB7D85" w:rsidRDefault="000411ED" w:rsidP="00BB7D85">
      <w:pPr>
        <w:pStyle w:val="JANZSSABodyCopy10pt"/>
        <w:rPr>
          <w:b/>
          <w:bCs/>
        </w:rPr>
      </w:pPr>
      <w:r w:rsidRPr="00BB7D85">
        <w:rPr>
          <w:b/>
          <w:bCs/>
        </w:rPr>
        <w:lastRenderedPageBreak/>
        <w:t>The</w:t>
      </w:r>
      <w:r w:rsidR="002B0419" w:rsidRPr="00BB7D85">
        <w:rPr>
          <w:b/>
          <w:bCs/>
        </w:rPr>
        <w:t xml:space="preserve"> </w:t>
      </w:r>
      <w:r w:rsidRPr="00BB7D85">
        <w:rPr>
          <w:b/>
          <w:bCs/>
        </w:rPr>
        <w:t>authors</w:t>
      </w:r>
      <w:r w:rsidR="002B0419" w:rsidRPr="00BB7D85">
        <w:rPr>
          <w:b/>
          <w:bCs/>
        </w:rPr>
        <w:t xml:space="preserve"> </w:t>
      </w:r>
      <w:r w:rsidRPr="00BB7D85">
        <w:rPr>
          <w:b/>
          <w:bCs/>
        </w:rPr>
        <w:t>may</w:t>
      </w:r>
      <w:r w:rsidR="002B0419" w:rsidRPr="00BB7D85">
        <w:rPr>
          <w:b/>
          <w:bCs/>
        </w:rPr>
        <w:t xml:space="preserve"> </w:t>
      </w:r>
      <w:r w:rsidRPr="00BB7D85">
        <w:rPr>
          <w:b/>
          <w:bCs/>
        </w:rPr>
        <w:t>be</w:t>
      </w:r>
      <w:r w:rsidR="002B0419" w:rsidRPr="00BB7D85">
        <w:rPr>
          <w:b/>
          <w:bCs/>
        </w:rPr>
        <w:t xml:space="preserve"> </w:t>
      </w:r>
      <w:r w:rsidRPr="00BB7D85">
        <w:rPr>
          <w:b/>
          <w:bCs/>
        </w:rPr>
        <w:t>contacted</w:t>
      </w:r>
      <w:r w:rsidR="002B0419" w:rsidRPr="00BB7D85">
        <w:rPr>
          <w:b/>
          <w:bCs/>
        </w:rPr>
        <w:t xml:space="preserve"> </w:t>
      </w:r>
      <w:r w:rsidRPr="00BB7D85">
        <w:rPr>
          <w:b/>
          <w:bCs/>
        </w:rPr>
        <w:t>via</w:t>
      </w:r>
      <w:r w:rsidR="00571F4B" w:rsidRPr="00BB7D85">
        <w:rPr>
          <w:b/>
          <w:bCs/>
        </w:rPr>
        <w:t>:</w:t>
      </w:r>
    </w:p>
    <w:p w14:paraId="2D2C6DAA" w14:textId="7F1F8B85" w:rsidR="00B40AA2" w:rsidRDefault="000C01BB" w:rsidP="00BB7D85">
      <w:pPr>
        <w:pStyle w:val="JANZSSABodyCopy10pt"/>
      </w:pPr>
      <w:r>
        <w:t xml:space="preserve">Dr. </w:t>
      </w:r>
      <w:proofErr w:type="spellStart"/>
      <w:r w:rsidRPr="000C01BB">
        <w:t>Rachmawati</w:t>
      </w:r>
      <w:proofErr w:type="spellEnd"/>
      <w:r w:rsidRPr="000C01BB">
        <w:t xml:space="preserve"> </w:t>
      </w:r>
      <w:proofErr w:type="spellStart"/>
      <w:r w:rsidRPr="000C01BB">
        <w:t>Rachmawati</w:t>
      </w:r>
      <w:proofErr w:type="spellEnd"/>
      <w:r w:rsidRPr="000C01BB">
        <w:t xml:space="preserve"> </w:t>
      </w:r>
      <w:r>
        <w:t>—</w:t>
      </w:r>
      <w:r w:rsidRPr="000C01BB">
        <w:t xml:space="preserve"> rama_psikologi@unsri.ac.id</w:t>
      </w:r>
    </w:p>
    <w:p w14:paraId="0B513278" w14:textId="7EF99AF1" w:rsidR="009B6C4A" w:rsidRDefault="009B6C4A">
      <w:pPr>
        <w:rPr>
          <w:b/>
          <w:bCs/>
          <w:szCs w:val="20"/>
        </w:rPr>
      </w:pPr>
    </w:p>
    <w:p w14:paraId="20683185" w14:textId="15FFA45D" w:rsidR="000A0E3F" w:rsidRPr="00BB7D85" w:rsidRDefault="000411ED" w:rsidP="00BB7D85">
      <w:pPr>
        <w:pStyle w:val="JANZSSABodyCopy10pt"/>
        <w:rPr>
          <w:b/>
          <w:bCs/>
        </w:rPr>
      </w:pPr>
      <w:r w:rsidRPr="00BB7D85">
        <w:rPr>
          <w:b/>
          <w:bCs/>
        </w:rPr>
        <w:t>Please</w:t>
      </w:r>
      <w:r w:rsidR="002B0419" w:rsidRPr="00BB7D85">
        <w:rPr>
          <w:b/>
          <w:bCs/>
        </w:rPr>
        <w:t xml:space="preserve"> </w:t>
      </w:r>
      <w:r w:rsidRPr="00BB7D85">
        <w:rPr>
          <w:b/>
          <w:bCs/>
        </w:rPr>
        <w:t>cite</w:t>
      </w:r>
      <w:r w:rsidR="002B0419" w:rsidRPr="00BB7D85">
        <w:rPr>
          <w:b/>
          <w:bCs/>
        </w:rPr>
        <w:t xml:space="preserve"> </w:t>
      </w:r>
      <w:r w:rsidRPr="00BB7D85">
        <w:rPr>
          <w:b/>
          <w:bCs/>
        </w:rPr>
        <w:t>this</w:t>
      </w:r>
      <w:r w:rsidR="002B0419" w:rsidRPr="00BB7D85">
        <w:rPr>
          <w:b/>
          <w:bCs/>
        </w:rPr>
        <w:t xml:space="preserve"> </w:t>
      </w:r>
      <w:r w:rsidRPr="00BB7D85">
        <w:rPr>
          <w:b/>
          <w:bCs/>
        </w:rPr>
        <w:t>paper</w:t>
      </w:r>
      <w:r w:rsidR="002B0419" w:rsidRPr="00BB7D85">
        <w:rPr>
          <w:b/>
          <w:bCs/>
        </w:rPr>
        <w:t xml:space="preserve"> </w:t>
      </w:r>
      <w:r w:rsidRPr="00BB7D85">
        <w:rPr>
          <w:b/>
          <w:bCs/>
        </w:rPr>
        <w:t>as:</w:t>
      </w:r>
      <w:r w:rsidR="002B0419" w:rsidRPr="00BB7D85">
        <w:rPr>
          <w:b/>
          <w:bCs/>
        </w:rPr>
        <w:t xml:space="preserve"> </w:t>
      </w:r>
    </w:p>
    <w:p w14:paraId="3C0C663A" w14:textId="1F5B11A8" w:rsidR="000A0E3F" w:rsidRDefault="00EA6A9A" w:rsidP="00EA6A9A">
      <w:pPr>
        <w:pStyle w:val="JANZSSABodyCopy10pt"/>
        <w:ind w:left="0" w:firstLine="0"/>
      </w:pPr>
      <w:proofErr w:type="spellStart"/>
      <w:r>
        <w:t>Rachmawati</w:t>
      </w:r>
      <w:proofErr w:type="spellEnd"/>
      <w:r>
        <w:t xml:space="preserve">, R., </w:t>
      </w:r>
      <w:proofErr w:type="spellStart"/>
      <w:r>
        <w:t>Juniarly</w:t>
      </w:r>
      <w:proofErr w:type="spellEnd"/>
      <w:r>
        <w:t xml:space="preserve">, A., &amp; </w:t>
      </w:r>
      <w:proofErr w:type="spellStart"/>
      <w:r>
        <w:t>Prapto</w:t>
      </w:r>
      <w:proofErr w:type="spellEnd"/>
      <w:r>
        <w:t xml:space="preserve"> Nugroho, I. (2026). </w:t>
      </w:r>
      <w:r w:rsidRPr="00EA6A9A">
        <w:t>Applying the MIMIC model to assess the impact of sociodemographic background on students’ college belongingness</w:t>
      </w:r>
      <w:r>
        <w:t xml:space="preserve">. </w:t>
      </w:r>
      <w:r w:rsidRPr="00EA6A9A">
        <w:rPr>
          <w:i/>
          <w:iCs/>
        </w:rPr>
        <w:t>Journal of the Australian and New Zealand Student Services Association</w:t>
      </w:r>
      <w:r w:rsidR="000B79A4">
        <w:t xml:space="preserve">, </w:t>
      </w:r>
      <w:r w:rsidR="000B79A4">
        <w:rPr>
          <w:i/>
          <w:iCs/>
        </w:rPr>
        <w:t>34</w:t>
      </w:r>
      <w:r w:rsidR="000B79A4">
        <w:t xml:space="preserve">(2), </w:t>
      </w:r>
      <w:r w:rsidR="00D756A2">
        <w:t>233</w:t>
      </w:r>
      <w:r w:rsidR="000B79A4" w:rsidRPr="00D756A2">
        <w:t>–</w:t>
      </w:r>
      <w:r w:rsidR="00D756A2">
        <w:t>252</w:t>
      </w:r>
      <w:r>
        <w:t xml:space="preserve">. </w:t>
      </w:r>
      <w:r w:rsidR="00A61BB2" w:rsidRPr="00A61BB2">
        <w:t>https://doi.org/10.30688/janzssa.2026-2-0</w:t>
      </w:r>
      <w:r w:rsidR="00A61BB2">
        <w:t>2</w:t>
      </w:r>
    </w:p>
    <w:p w14:paraId="510078C0" w14:textId="77777777" w:rsidR="000B79A4" w:rsidRPr="00EA6A9A" w:rsidRDefault="000B79A4" w:rsidP="00EA6A9A">
      <w:pPr>
        <w:pStyle w:val="JANZSSABodyCopy10pt"/>
        <w:ind w:left="0" w:firstLine="0"/>
      </w:pPr>
    </w:p>
    <w:p w14:paraId="3457E383" w14:textId="77777777" w:rsidR="00D93174" w:rsidRDefault="00D93174" w:rsidP="000A0E3F">
      <w:pPr>
        <w:pStyle w:val="JANZSSATableContents"/>
        <w:rPr>
          <w:rFonts w:eastAsia="Calibri"/>
        </w:rPr>
      </w:pPr>
    </w:p>
    <w:p w14:paraId="210B1121" w14:textId="5840766F" w:rsidR="000A0E3F" w:rsidRPr="000A0E3F" w:rsidRDefault="000A0E3F" w:rsidP="000A0E3F">
      <w:pPr>
        <w:pStyle w:val="JANZSSATableContents"/>
        <w:rPr>
          <w:b/>
          <w:bCs/>
        </w:rPr>
      </w:pPr>
      <w:r>
        <w:rPr>
          <w:noProof/>
        </w:rPr>
        <w:drawing>
          <wp:inline distT="0" distB="0" distL="0" distR="0" wp14:anchorId="755A375E" wp14:editId="24F05B8F">
            <wp:extent cx="1223010"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010" cy="427355"/>
                    </a:xfrm>
                    <a:prstGeom prst="rect">
                      <a:avLst/>
                    </a:prstGeom>
                    <a:noFill/>
                    <a:ln>
                      <a:noFill/>
                    </a:ln>
                  </pic:spPr>
                </pic:pic>
              </a:graphicData>
            </a:graphic>
          </wp:inline>
        </w:drawing>
      </w:r>
    </w:p>
    <w:p w14:paraId="409CDBC1" w14:textId="77777777" w:rsidR="000A0E3F" w:rsidRDefault="000A0E3F" w:rsidP="000A0E3F">
      <w:pPr>
        <w:pStyle w:val="JANZSSAfootnote0"/>
        <w:rPr>
          <w:sz w:val="20"/>
          <w:szCs w:val="20"/>
        </w:rPr>
      </w:pPr>
    </w:p>
    <w:p w14:paraId="5CA760DD" w14:textId="77777777" w:rsidR="000A0E3F" w:rsidRDefault="000A0E3F" w:rsidP="00176032">
      <w:pPr>
        <w:pStyle w:val="JANZSSABodycopy"/>
      </w:pPr>
      <w:r>
        <w:t>This work is licensed under the Creative Commons Attribution 4.0 International License. To view a copy of this license, visit http://creativecommons.org/licenses/by/4.0/ or send a letter to Creative Commons, PO Box 1866, Mountain View, CA 94042, USA.</w:t>
      </w:r>
    </w:p>
    <w:bookmarkEnd w:id="0"/>
    <w:p w14:paraId="11A339ED" w14:textId="77777777" w:rsidR="0005549E" w:rsidRDefault="0005549E" w:rsidP="00176032">
      <w:pPr>
        <w:pStyle w:val="JANZSSABodycopy"/>
      </w:pPr>
    </w:p>
    <w:sectPr w:rsidR="0005549E" w:rsidSect="00D756A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1281" w:right="1140" w:bottom="1281" w:left="1140" w:header="567" w:footer="678" w:gutter="0"/>
      <w:pgNumType w:start="2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E8B4" w14:textId="77777777" w:rsidR="00456A88" w:rsidRDefault="00456A88" w:rsidP="00EE09D3">
      <w:r>
        <w:separator/>
      </w:r>
    </w:p>
    <w:p w14:paraId="68D5FA09" w14:textId="77777777" w:rsidR="00456A88" w:rsidRDefault="00456A88"/>
    <w:p w14:paraId="73E61165" w14:textId="77777777" w:rsidR="00456A88" w:rsidRDefault="00456A88"/>
  </w:endnote>
  <w:endnote w:type="continuationSeparator" w:id="0">
    <w:p w14:paraId="28341214" w14:textId="77777777" w:rsidR="00456A88" w:rsidRDefault="00456A88" w:rsidP="00EE09D3">
      <w:r>
        <w:continuationSeparator/>
      </w:r>
    </w:p>
    <w:p w14:paraId="70A65624" w14:textId="77777777" w:rsidR="00456A88" w:rsidRDefault="00456A88"/>
    <w:p w14:paraId="38438ADB" w14:textId="77777777" w:rsidR="00456A88" w:rsidRDefault="00456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402F" w14:textId="77777777"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5C6527B0" w14:textId="77777777" w:rsidR="000B79A4" w:rsidRDefault="00D93174" w:rsidP="000B79A4">
    <w:pPr>
      <w:pStyle w:val="JANZSSAFooter"/>
    </w:pPr>
    <w:r w:rsidRPr="004167FD">
      <w:t>Journal of the Australian and New Zealand Student Services Association</w:t>
    </w:r>
    <w:r w:rsidR="000B79A4">
      <w:t>:</w:t>
    </w:r>
  </w:p>
  <w:p w14:paraId="2FB06EAB" w14:textId="77777777" w:rsidR="000B79A4" w:rsidRPr="004167FD" w:rsidRDefault="000B79A4" w:rsidP="000B79A4">
    <w:pPr>
      <w:pStyle w:val="JANZSSAFooter"/>
    </w:pPr>
    <w:r>
      <w:t>Volume 34, Issue 2</w:t>
    </w:r>
  </w:p>
  <w:p w14:paraId="5446DD8B" w14:textId="3DADFA1C"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E1F8" w14:textId="77777777"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2C978205" w14:textId="77777777" w:rsidR="000B79A4" w:rsidRDefault="00D93174" w:rsidP="000B79A4">
    <w:pPr>
      <w:pStyle w:val="JANZSSAFooter"/>
    </w:pPr>
    <w:r w:rsidRPr="00CD07E8">
      <w:t>Journal of the Australian and New Zealand Student Services Association</w:t>
    </w:r>
    <w:r w:rsidR="000B79A4">
      <w:t>:</w:t>
    </w:r>
  </w:p>
  <w:p w14:paraId="4B63BDA0" w14:textId="77777777" w:rsidR="000B79A4" w:rsidRPr="004167FD" w:rsidRDefault="000B79A4" w:rsidP="000B79A4">
    <w:pPr>
      <w:pStyle w:val="JANZSSAFooter"/>
    </w:pPr>
    <w:r>
      <w:t>Volume 34, Issue 2</w:t>
    </w:r>
  </w:p>
  <w:p w14:paraId="075B1207" w14:textId="261195AC" w:rsidR="008C61A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92F6" w14:textId="77777777" w:rsidR="004167FD" w:rsidRDefault="004167FD" w:rsidP="004167FD">
    <w:pPr>
      <w:pStyle w:val="JANZSSAFooter"/>
    </w:pPr>
  </w:p>
  <w:p w14:paraId="2DF7F83C" w14:textId="77777777" w:rsidR="000B79A4" w:rsidRDefault="00D93174" w:rsidP="000B79A4">
    <w:pPr>
      <w:pStyle w:val="JANZSSAFooter"/>
    </w:pPr>
    <w:r w:rsidRPr="004167FD">
      <w:t>Journal of the Au</w:t>
    </w:r>
    <w:r w:rsidRPr="004167FD">
      <w:rPr>
        <w:rStyle w:val="JANZSSAFooterChar"/>
        <w:i/>
        <w:iCs/>
      </w:rPr>
      <w:t>stralian and New Zealand Student S</w:t>
    </w:r>
    <w:r w:rsidRPr="004167FD">
      <w:t>ervices Association</w:t>
    </w:r>
    <w:r w:rsidR="000B79A4">
      <w:t>:</w:t>
    </w:r>
  </w:p>
  <w:p w14:paraId="1CFAD244" w14:textId="77777777" w:rsidR="000B79A4" w:rsidRPr="004167FD" w:rsidRDefault="000B79A4" w:rsidP="000B79A4">
    <w:pPr>
      <w:pStyle w:val="JANZSSAFooter"/>
    </w:pPr>
    <w:r>
      <w:t>Volume 34, Issue 2</w:t>
    </w:r>
  </w:p>
  <w:p w14:paraId="48C04293" w14:textId="12C6EBF4"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sidRPr="00D93174">
      <w:rPr>
        <w:noProof/>
        <w:sz w:val="18"/>
        <w:szCs w:val="18"/>
      </w:rPr>
      <w:t>1</w:t>
    </w:r>
    <w:r w:rsidRPr="00D9317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4C66" w14:textId="77777777" w:rsidR="00456A88" w:rsidRDefault="00456A88" w:rsidP="00EE09D3">
      <w:r>
        <w:separator/>
      </w:r>
    </w:p>
    <w:p w14:paraId="7794B9F2" w14:textId="77777777" w:rsidR="00456A88" w:rsidRDefault="00456A88"/>
    <w:p w14:paraId="1FAE7167" w14:textId="77777777" w:rsidR="00456A88" w:rsidRDefault="00456A88"/>
  </w:footnote>
  <w:footnote w:type="continuationSeparator" w:id="0">
    <w:p w14:paraId="1A4A30B1" w14:textId="77777777" w:rsidR="00456A88" w:rsidRDefault="00456A88" w:rsidP="00EE09D3">
      <w:r>
        <w:continuationSeparator/>
      </w:r>
    </w:p>
    <w:p w14:paraId="2B3AC44E" w14:textId="77777777" w:rsidR="00456A88" w:rsidRDefault="00456A88"/>
    <w:p w14:paraId="0889B231" w14:textId="77777777" w:rsidR="00456A88" w:rsidRDefault="00456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06C" w14:textId="32FE761E" w:rsidR="00D93174" w:rsidRPr="006A0AF4" w:rsidRDefault="00EA6A9A" w:rsidP="00C95DA5">
    <w:pPr>
      <w:pStyle w:val="JANZSSARuningHead"/>
    </w:pPr>
    <w:r w:rsidRPr="00EA6A9A">
      <w:t>Applying the MIMIC model to assess the impact of sociodemographic background on students’ college belongingness</w:t>
    </w:r>
  </w:p>
  <w:p w14:paraId="377480A8" w14:textId="355DBBAA" w:rsidR="00DB6ECF" w:rsidRPr="00D93174" w:rsidRDefault="00DB6ECF" w:rsidP="00D93174"/>
  <w:p w14:paraId="2E9BAA5C" w14:textId="77777777" w:rsidR="008C61AD" w:rsidRDefault="008C61AD"/>
  <w:p w14:paraId="45C1C7BD" w14:textId="77777777" w:rsidR="008C61AD" w:rsidRDefault="008C61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A7A3" w14:textId="77777777" w:rsidR="000B79A4" w:rsidRPr="006A0AF4" w:rsidRDefault="000B79A4" w:rsidP="000B79A4">
    <w:pPr>
      <w:pStyle w:val="JANZSSAHeader"/>
    </w:pPr>
    <w:r w:rsidRPr="006A0AF4">
      <w:t>JANZSSA</w:t>
    </w:r>
    <w:r>
      <w:t xml:space="preserve">: </w:t>
    </w:r>
    <w:r w:rsidRPr="00090F6E">
      <w:t>Volume 3</w:t>
    </w:r>
    <w:r>
      <w:t>4</w:t>
    </w:r>
    <w:r w:rsidRPr="00090F6E">
      <w:t xml:space="preserve">, Issue </w:t>
    </w:r>
    <w:r>
      <w:t>2, May 2026</w:t>
    </w:r>
  </w:p>
  <w:p w14:paraId="63BC53F5" w14:textId="77777777" w:rsidR="008C61AD" w:rsidRDefault="008C61AD"/>
  <w:p w14:paraId="6DDAF71F" w14:textId="77777777" w:rsidR="008C61AD" w:rsidRDefault="008C61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54E" w14:textId="42F07958" w:rsidR="00C726E2" w:rsidRPr="00C726E2" w:rsidRDefault="00543A0C" w:rsidP="00C726E2">
    <w:pPr>
      <w:pStyle w:val="JANZSSAHeader"/>
      <w:rPr>
        <w:b/>
        <w:bCs/>
      </w:rPr>
    </w:pPr>
    <w:r>
      <w:rPr>
        <w:b/>
        <w:bCs/>
      </w:rPr>
      <w:t>P</w:t>
    </w:r>
    <w:r w:rsidR="00B40AA2">
      <w:rPr>
        <w:b/>
        <w:bCs/>
      </w:rPr>
      <w:t>eer-Reviewed</w:t>
    </w:r>
    <w:r w:rsidR="00C726E2" w:rsidRPr="00C726E2">
      <w:rPr>
        <w:b/>
        <w:bCs/>
      </w:rPr>
      <w:t xml:space="preserve"> 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DD"/>
    <w:multiLevelType w:val="multilevel"/>
    <w:tmpl w:val="C20E4B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DD3F94"/>
    <w:multiLevelType w:val="hybridMultilevel"/>
    <w:tmpl w:val="C9289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0272A"/>
    <w:multiLevelType w:val="hybridMultilevel"/>
    <w:tmpl w:val="480EB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0E37AA7"/>
    <w:multiLevelType w:val="hybridMultilevel"/>
    <w:tmpl w:val="5B624D7A"/>
    <w:lvl w:ilvl="0" w:tplc="B7F49266">
      <w:start w:val="1"/>
      <w:numFmt w:val="decimal"/>
      <w:pStyle w:val="JANZSSANumberedheading"/>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D588E"/>
    <w:multiLevelType w:val="hybridMultilevel"/>
    <w:tmpl w:val="F1E8EC36"/>
    <w:lvl w:ilvl="0" w:tplc="87EE5178">
      <w:start w:val="1"/>
      <w:numFmt w:val="decimal"/>
      <w:pStyle w:val="JANZSSANumberList"/>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205E5C73"/>
    <w:multiLevelType w:val="hybridMultilevel"/>
    <w:tmpl w:val="E5D82BCC"/>
    <w:styleLink w:val="ImportedStyle1"/>
    <w:lvl w:ilvl="0" w:tplc="79262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846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856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041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61F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0D1C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8A3C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C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ABB8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5F7C5A"/>
    <w:multiLevelType w:val="hybridMultilevel"/>
    <w:tmpl w:val="FFFFFFFF"/>
    <w:lvl w:ilvl="0" w:tplc="BAFE271C">
      <w:start w:val="1"/>
      <w:numFmt w:val="bullet"/>
      <w:lvlText w:val=""/>
      <w:lvlJc w:val="left"/>
      <w:pPr>
        <w:ind w:left="720" w:hanging="360"/>
      </w:pPr>
      <w:rPr>
        <w:rFonts w:ascii="Symbol" w:hAnsi="Symbol" w:hint="default"/>
      </w:rPr>
    </w:lvl>
    <w:lvl w:ilvl="1" w:tplc="AE50B006">
      <w:start w:val="1"/>
      <w:numFmt w:val="bullet"/>
      <w:lvlText w:val="o"/>
      <w:lvlJc w:val="left"/>
      <w:pPr>
        <w:ind w:left="1440" w:hanging="360"/>
      </w:pPr>
      <w:rPr>
        <w:rFonts w:ascii="Courier New" w:hAnsi="Courier New" w:cs="Times New Roman" w:hint="default"/>
      </w:rPr>
    </w:lvl>
    <w:lvl w:ilvl="2" w:tplc="7D5C9210">
      <w:start w:val="1"/>
      <w:numFmt w:val="bullet"/>
      <w:lvlText w:val=""/>
      <w:lvlJc w:val="left"/>
      <w:pPr>
        <w:ind w:left="2160" w:hanging="360"/>
      </w:pPr>
      <w:rPr>
        <w:rFonts w:ascii="Wingdings" w:hAnsi="Wingdings" w:hint="default"/>
      </w:rPr>
    </w:lvl>
    <w:lvl w:ilvl="3" w:tplc="18C49346">
      <w:start w:val="1"/>
      <w:numFmt w:val="bullet"/>
      <w:lvlText w:val=""/>
      <w:lvlJc w:val="left"/>
      <w:pPr>
        <w:ind w:left="2880" w:hanging="360"/>
      </w:pPr>
      <w:rPr>
        <w:rFonts w:ascii="Symbol" w:hAnsi="Symbol" w:hint="default"/>
      </w:rPr>
    </w:lvl>
    <w:lvl w:ilvl="4" w:tplc="586A5A00">
      <w:start w:val="1"/>
      <w:numFmt w:val="bullet"/>
      <w:lvlText w:val="o"/>
      <w:lvlJc w:val="left"/>
      <w:pPr>
        <w:ind w:left="3600" w:hanging="360"/>
      </w:pPr>
      <w:rPr>
        <w:rFonts w:ascii="Courier New" w:hAnsi="Courier New" w:cs="Times New Roman" w:hint="default"/>
      </w:rPr>
    </w:lvl>
    <w:lvl w:ilvl="5" w:tplc="1FF2FEB8">
      <w:start w:val="1"/>
      <w:numFmt w:val="bullet"/>
      <w:lvlText w:val=""/>
      <w:lvlJc w:val="left"/>
      <w:pPr>
        <w:ind w:left="4320" w:hanging="360"/>
      </w:pPr>
      <w:rPr>
        <w:rFonts w:ascii="Wingdings" w:hAnsi="Wingdings" w:hint="default"/>
      </w:rPr>
    </w:lvl>
    <w:lvl w:ilvl="6" w:tplc="9C8061C0">
      <w:start w:val="1"/>
      <w:numFmt w:val="bullet"/>
      <w:lvlText w:val=""/>
      <w:lvlJc w:val="left"/>
      <w:pPr>
        <w:ind w:left="5040" w:hanging="360"/>
      </w:pPr>
      <w:rPr>
        <w:rFonts w:ascii="Symbol" w:hAnsi="Symbol" w:hint="default"/>
      </w:rPr>
    </w:lvl>
    <w:lvl w:ilvl="7" w:tplc="A0A8EBCA">
      <w:start w:val="1"/>
      <w:numFmt w:val="bullet"/>
      <w:lvlText w:val="o"/>
      <w:lvlJc w:val="left"/>
      <w:pPr>
        <w:ind w:left="5760" w:hanging="360"/>
      </w:pPr>
      <w:rPr>
        <w:rFonts w:ascii="Courier New" w:hAnsi="Courier New" w:cs="Times New Roman" w:hint="default"/>
      </w:rPr>
    </w:lvl>
    <w:lvl w:ilvl="8" w:tplc="53FA2FB6">
      <w:start w:val="1"/>
      <w:numFmt w:val="bullet"/>
      <w:lvlText w:val=""/>
      <w:lvlJc w:val="left"/>
      <w:pPr>
        <w:ind w:left="6480" w:hanging="360"/>
      </w:pPr>
      <w:rPr>
        <w:rFonts w:ascii="Wingdings" w:hAnsi="Wingdings" w:hint="default"/>
      </w:rPr>
    </w:lvl>
  </w:abstractNum>
  <w:abstractNum w:abstractNumId="7" w15:restartNumberingAfterBreak="0">
    <w:nsid w:val="266C3713"/>
    <w:multiLevelType w:val="hybridMultilevel"/>
    <w:tmpl w:val="5170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B5D429C"/>
    <w:multiLevelType w:val="multilevel"/>
    <w:tmpl w:val="546E6C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025151"/>
    <w:multiLevelType w:val="hybridMultilevel"/>
    <w:tmpl w:val="6BB8E492"/>
    <w:lvl w:ilvl="0" w:tplc="017EA7A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C3978"/>
    <w:multiLevelType w:val="multilevel"/>
    <w:tmpl w:val="E856D7F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320E1119"/>
    <w:multiLevelType w:val="hybridMultilevel"/>
    <w:tmpl w:val="0D3041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33DD6DAF"/>
    <w:multiLevelType w:val="hybridMultilevel"/>
    <w:tmpl w:val="3730A2FA"/>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3" w15:restartNumberingAfterBreak="0">
    <w:nsid w:val="36C43F23"/>
    <w:multiLevelType w:val="multilevel"/>
    <w:tmpl w:val="D04471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1E94"/>
    <w:multiLevelType w:val="hybridMultilevel"/>
    <w:tmpl w:val="ECD65614"/>
    <w:lvl w:ilvl="0" w:tplc="2166C214">
      <w:start w:val="1"/>
      <w:numFmt w:val="bullet"/>
      <w:lvlText w:val=""/>
      <w:lvlJc w:val="left"/>
      <w:pPr>
        <w:ind w:left="1569" w:hanging="360"/>
      </w:pPr>
      <w:rPr>
        <w:rFonts w:ascii="Wingdings 3" w:hAnsi="Wingdings 3"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6" w15:restartNumberingAfterBreak="0">
    <w:nsid w:val="461D0502"/>
    <w:multiLevelType w:val="hybridMultilevel"/>
    <w:tmpl w:val="2272CF22"/>
    <w:lvl w:ilvl="0" w:tplc="57885B68">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7" w15:restartNumberingAfterBreak="0">
    <w:nsid w:val="4F721014"/>
    <w:multiLevelType w:val="hybridMultilevel"/>
    <w:tmpl w:val="0C09001D"/>
    <w:styleLink w:val="Style1"/>
    <w:lvl w:ilvl="0" w:tplc="2AA6A990">
      <w:start w:val="2"/>
      <w:numFmt w:val="decimal"/>
      <w:lvlText w:val="%1)"/>
      <w:lvlJc w:val="left"/>
      <w:pPr>
        <w:ind w:left="360" w:hanging="360"/>
      </w:pPr>
    </w:lvl>
    <w:lvl w:ilvl="1" w:tplc="930EF7EE">
      <w:start w:val="1"/>
      <w:numFmt w:val="lowerLetter"/>
      <w:lvlText w:val="%2)"/>
      <w:lvlJc w:val="left"/>
      <w:pPr>
        <w:ind w:left="720" w:hanging="360"/>
      </w:pPr>
    </w:lvl>
    <w:lvl w:ilvl="2" w:tplc="EB5000E2">
      <w:start w:val="1"/>
      <w:numFmt w:val="lowerRoman"/>
      <w:lvlText w:val="%3)"/>
      <w:lvlJc w:val="left"/>
      <w:pPr>
        <w:ind w:left="1080" w:hanging="360"/>
      </w:pPr>
    </w:lvl>
    <w:lvl w:ilvl="3" w:tplc="20A6053C">
      <w:start w:val="1"/>
      <w:numFmt w:val="decimal"/>
      <w:lvlText w:val="(%4)"/>
      <w:lvlJc w:val="left"/>
      <w:pPr>
        <w:ind w:left="1440" w:hanging="360"/>
      </w:pPr>
    </w:lvl>
    <w:lvl w:ilvl="4" w:tplc="1E24A190">
      <w:start w:val="1"/>
      <w:numFmt w:val="lowerLetter"/>
      <w:lvlText w:val="(%5)"/>
      <w:lvlJc w:val="left"/>
      <w:pPr>
        <w:ind w:left="1800" w:hanging="360"/>
      </w:pPr>
    </w:lvl>
    <w:lvl w:ilvl="5" w:tplc="A7C477B4">
      <w:start w:val="1"/>
      <w:numFmt w:val="lowerRoman"/>
      <w:lvlText w:val="(%6)"/>
      <w:lvlJc w:val="left"/>
      <w:pPr>
        <w:ind w:left="2160" w:hanging="360"/>
      </w:pPr>
    </w:lvl>
    <w:lvl w:ilvl="6" w:tplc="98CE92FE">
      <w:start w:val="1"/>
      <w:numFmt w:val="decimal"/>
      <w:lvlText w:val="%7."/>
      <w:lvlJc w:val="left"/>
      <w:pPr>
        <w:ind w:left="2520" w:hanging="360"/>
      </w:pPr>
    </w:lvl>
    <w:lvl w:ilvl="7" w:tplc="908E30F6">
      <w:start w:val="1"/>
      <w:numFmt w:val="lowerLetter"/>
      <w:lvlText w:val="%8."/>
      <w:lvlJc w:val="left"/>
      <w:pPr>
        <w:ind w:left="2880" w:hanging="360"/>
      </w:pPr>
    </w:lvl>
    <w:lvl w:ilvl="8" w:tplc="AFD055EC">
      <w:start w:val="1"/>
      <w:numFmt w:val="lowerRoman"/>
      <w:lvlText w:val="%9."/>
      <w:lvlJc w:val="left"/>
      <w:pPr>
        <w:ind w:left="3240" w:hanging="360"/>
      </w:pPr>
    </w:lvl>
  </w:abstractNum>
  <w:abstractNum w:abstractNumId="18" w15:restartNumberingAfterBreak="0">
    <w:nsid w:val="53220D5C"/>
    <w:multiLevelType w:val="hybridMultilevel"/>
    <w:tmpl w:val="5EF68B74"/>
    <w:styleLink w:val="List31"/>
    <w:lvl w:ilvl="0" w:tplc="AC08270E">
      <w:numFmt w:val="bullet"/>
      <w:lvlText w:val="•"/>
      <w:lvlJc w:val="left"/>
      <w:rPr>
        <w:position w:val="0"/>
        <w:rtl w:val="0"/>
        <w:lang w:val="en-US"/>
      </w:rPr>
    </w:lvl>
    <w:lvl w:ilvl="1" w:tplc="9BEA02A4">
      <w:start w:val="1"/>
      <w:numFmt w:val="bullet"/>
      <w:lvlText w:val="o"/>
      <w:lvlJc w:val="left"/>
      <w:rPr>
        <w:position w:val="0"/>
        <w:rtl w:val="0"/>
        <w:lang w:val="en-US"/>
      </w:rPr>
    </w:lvl>
    <w:lvl w:ilvl="2" w:tplc="9AA8C3E8">
      <w:start w:val="1"/>
      <w:numFmt w:val="bullet"/>
      <w:lvlText w:val="▪"/>
      <w:lvlJc w:val="left"/>
      <w:rPr>
        <w:position w:val="0"/>
        <w:rtl w:val="0"/>
        <w:lang w:val="en-US"/>
      </w:rPr>
    </w:lvl>
    <w:lvl w:ilvl="3" w:tplc="1BB2E940">
      <w:start w:val="1"/>
      <w:numFmt w:val="bullet"/>
      <w:lvlText w:val="•"/>
      <w:lvlJc w:val="left"/>
      <w:rPr>
        <w:position w:val="0"/>
        <w:rtl w:val="0"/>
        <w:lang w:val="en-US"/>
      </w:rPr>
    </w:lvl>
    <w:lvl w:ilvl="4" w:tplc="D7C89B40">
      <w:start w:val="1"/>
      <w:numFmt w:val="bullet"/>
      <w:lvlText w:val="o"/>
      <w:lvlJc w:val="left"/>
      <w:rPr>
        <w:position w:val="0"/>
        <w:rtl w:val="0"/>
        <w:lang w:val="en-US"/>
      </w:rPr>
    </w:lvl>
    <w:lvl w:ilvl="5" w:tplc="93D28DB6">
      <w:start w:val="1"/>
      <w:numFmt w:val="bullet"/>
      <w:lvlText w:val="▪"/>
      <w:lvlJc w:val="left"/>
      <w:rPr>
        <w:position w:val="0"/>
        <w:rtl w:val="0"/>
        <w:lang w:val="en-US"/>
      </w:rPr>
    </w:lvl>
    <w:lvl w:ilvl="6" w:tplc="00D8B99A">
      <w:start w:val="1"/>
      <w:numFmt w:val="bullet"/>
      <w:lvlText w:val="•"/>
      <w:lvlJc w:val="left"/>
      <w:rPr>
        <w:position w:val="0"/>
        <w:rtl w:val="0"/>
        <w:lang w:val="en-US"/>
      </w:rPr>
    </w:lvl>
    <w:lvl w:ilvl="7" w:tplc="C3B6B138">
      <w:start w:val="1"/>
      <w:numFmt w:val="bullet"/>
      <w:lvlText w:val="o"/>
      <w:lvlJc w:val="left"/>
      <w:rPr>
        <w:position w:val="0"/>
        <w:rtl w:val="0"/>
        <w:lang w:val="en-US"/>
      </w:rPr>
    </w:lvl>
    <w:lvl w:ilvl="8" w:tplc="48E29BBA">
      <w:start w:val="1"/>
      <w:numFmt w:val="bullet"/>
      <w:lvlText w:val="▪"/>
      <w:lvlJc w:val="left"/>
      <w:rPr>
        <w:position w:val="0"/>
        <w:rtl w:val="0"/>
        <w:lang w:val="en-US"/>
      </w:rPr>
    </w:lvl>
  </w:abstractNum>
  <w:abstractNum w:abstractNumId="19" w15:restartNumberingAfterBreak="0">
    <w:nsid w:val="55D108D2"/>
    <w:multiLevelType w:val="multilevel"/>
    <w:tmpl w:val="C45EE430"/>
    <w:lvl w:ilvl="0">
      <w:start w:val="1"/>
      <w:numFmt w:val="lowerLetter"/>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D96BF8"/>
    <w:multiLevelType w:val="hybridMultilevel"/>
    <w:tmpl w:val="CD18BEA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F1227"/>
    <w:multiLevelType w:val="hybridMultilevel"/>
    <w:tmpl w:val="2DE40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F439E9"/>
    <w:multiLevelType w:val="hybridMultilevel"/>
    <w:tmpl w:val="D3027848"/>
    <w:styleLink w:val="List1"/>
    <w:lvl w:ilvl="0" w:tplc="BA0C05AC">
      <w:numFmt w:val="bullet"/>
      <w:lvlText w:val="•"/>
      <w:lvlJc w:val="left"/>
      <w:rPr>
        <w:position w:val="0"/>
        <w:rtl w:val="0"/>
        <w:lang w:val="en-US"/>
      </w:rPr>
    </w:lvl>
    <w:lvl w:ilvl="1" w:tplc="E6446F4E">
      <w:start w:val="1"/>
      <w:numFmt w:val="bullet"/>
      <w:lvlText w:val="o"/>
      <w:lvlJc w:val="left"/>
      <w:rPr>
        <w:position w:val="0"/>
        <w:rtl w:val="0"/>
        <w:lang w:val="en-US"/>
      </w:rPr>
    </w:lvl>
    <w:lvl w:ilvl="2" w:tplc="77CC5EC2">
      <w:start w:val="1"/>
      <w:numFmt w:val="bullet"/>
      <w:lvlText w:val="▪"/>
      <w:lvlJc w:val="left"/>
      <w:rPr>
        <w:position w:val="0"/>
        <w:rtl w:val="0"/>
        <w:lang w:val="en-US"/>
      </w:rPr>
    </w:lvl>
    <w:lvl w:ilvl="3" w:tplc="8DF0B850">
      <w:start w:val="1"/>
      <w:numFmt w:val="bullet"/>
      <w:lvlText w:val="•"/>
      <w:lvlJc w:val="left"/>
      <w:rPr>
        <w:position w:val="0"/>
        <w:rtl w:val="0"/>
        <w:lang w:val="en-US"/>
      </w:rPr>
    </w:lvl>
    <w:lvl w:ilvl="4" w:tplc="61461CB6">
      <w:start w:val="1"/>
      <w:numFmt w:val="bullet"/>
      <w:lvlText w:val="o"/>
      <w:lvlJc w:val="left"/>
      <w:rPr>
        <w:position w:val="0"/>
        <w:rtl w:val="0"/>
        <w:lang w:val="en-US"/>
      </w:rPr>
    </w:lvl>
    <w:lvl w:ilvl="5" w:tplc="F0FC9102">
      <w:start w:val="1"/>
      <w:numFmt w:val="bullet"/>
      <w:lvlText w:val="▪"/>
      <w:lvlJc w:val="left"/>
      <w:rPr>
        <w:position w:val="0"/>
        <w:rtl w:val="0"/>
        <w:lang w:val="en-US"/>
      </w:rPr>
    </w:lvl>
    <w:lvl w:ilvl="6" w:tplc="98B84AA6">
      <w:start w:val="1"/>
      <w:numFmt w:val="bullet"/>
      <w:lvlText w:val="•"/>
      <w:lvlJc w:val="left"/>
      <w:rPr>
        <w:position w:val="0"/>
        <w:rtl w:val="0"/>
        <w:lang w:val="en-US"/>
      </w:rPr>
    </w:lvl>
    <w:lvl w:ilvl="7" w:tplc="57AA7572">
      <w:start w:val="1"/>
      <w:numFmt w:val="bullet"/>
      <w:lvlText w:val="o"/>
      <w:lvlJc w:val="left"/>
      <w:rPr>
        <w:position w:val="0"/>
        <w:rtl w:val="0"/>
        <w:lang w:val="en-US"/>
      </w:rPr>
    </w:lvl>
    <w:lvl w:ilvl="8" w:tplc="0D42037C">
      <w:start w:val="1"/>
      <w:numFmt w:val="bullet"/>
      <w:lvlText w:val="▪"/>
      <w:lvlJc w:val="left"/>
      <w:rPr>
        <w:position w:val="0"/>
        <w:rtl w:val="0"/>
        <w:lang w:val="en-US"/>
      </w:rPr>
    </w:lvl>
  </w:abstractNum>
  <w:abstractNum w:abstractNumId="23" w15:restartNumberingAfterBreak="0">
    <w:nsid w:val="6E6568BB"/>
    <w:multiLevelType w:val="hybridMultilevel"/>
    <w:tmpl w:val="E27C6F86"/>
    <w:lvl w:ilvl="0" w:tplc="C1E4D216">
      <w:start w:val="1"/>
      <w:numFmt w:val="bullet"/>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D373D7"/>
    <w:multiLevelType w:val="hybridMultilevel"/>
    <w:tmpl w:val="ABAA4B8E"/>
    <w:lvl w:ilvl="0" w:tplc="D5906E10">
      <w:start w:val="1"/>
      <w:numFmt w:val="decimal"/>
      <w:pStyle w:val="JANZSSANumbersItalics"/>
      <w:lvlText w:val="%1."/>
      <w:lvlJc w:val="left"/>
      <w:pPr>
        <w:ind w:left="644" w:hanging="360"/>
      </w:pPr>
      <w:rPr>
        <w:rFonts w:hint="default"/>
        <w:sz w:val="22"/>
        <w:szCs w:val="22"/>
      </w:rPr>
    </w:lvl>
    <w:lvl w:ilvl="1" w:tplc="0C090019">
      <w:start w:val="1"/>
      <w:numFmt w:val="lowerLetter"/>
      <w:pStyle w:val="JANZSSANumbersItalic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1E4727"/>
    <w:multiLevelType w:val="hybridMultilevel"/>
    <w:tmpl w:val="F6BE6BD8"/>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7AF5516F"/>
    <w:multiLevelType w:val="hybridMultilevel"/>
    <w:tmpl w:val="A6220774"/>
    <w:styleLink w:val="List21"/>
    <w:lvl w:ilvl="0" w:tplc="F566E1FA">
      <w:numFmt w:val="bullet"/>
      <w:lvlText w:val="•"/>
      <w:lvlJc w:val="left"/>
      <w:rPr>
        <w:position w:val="0"/>
        <w:rtl w:val="0"/>
        <w:lang w:val="en-US"/>
      </w:rPr>
    </w:lvl>
    <w:lvl w:ilvl="1" w:tplc="C2A25B0E">
      <w:start w:val="1"/>
      <w:numFmt w:val="bullet"/>
      <w:lvlText w:val="o"/>
      <w:lvlJc w:val="left"/>
      <w:rPr>
        <w:position w:val="0"/>
        <w:rtl w:val="0"/>
        <w:lang w:val="en-US"/>
      </w:rPr>
    </w:lvl>
    <w:lvl w:ilvl="2" w:tplc="92B22694">
      <w:start w:val="1"/>
      <w:numFmt w:val="bullet"/>
      <w:lvlText w:val="▪"/>
      <w:lvlJc w:val="left"/>
      <w:rPr>
        <w:position w:val="0"/>
        <w:rtl w:val="0"/>
        <w:lang w:val="en-US"/>
      </w:rPr>
    </w:lvl>
    <w:lvl w:ilvl="3" w:tplc="805484CE">
      <w:start w:val="1"/>
      <w:numFmt w:val="bullet"/>
      <w:lvlText w:val="•"/>
      <w:lvlJc w:val="left"/>
      <w:rPr>
        <w:position w:val="0"/>
        <w:rtl w:val="0"/>
        <w:lang w:val="en-US"/>
      </w:rPr>
    </w:lvl>
    <w:lvl w:ilvl="4" w:tplc="59B6F2C6">
      <w:start w:val="1"/>
      <w:numFmt w:val="bullet"/>
      <w:lvlText w:val="o"/>
      <w:lvlJc w:val="left"/>
      <w:rPr>
        <w:position w:val="0"/>
        <w:rtl w:val="0"/>
        <w:lang w:val="en-US"/>
      </w:rPr>
    </w:lvl>
    <w:lvl w:ilvl="5" w:tplc="38C42824">
      <w:start w:val="1"/>
      <w:numFmt w:val="bullet"/>
      <w:lvlText w:val="▪"/>
      <w:lvlJc w:val="left"/>
      <w:rPr>
        <w:position w:val="0"/>
        <w:rtl w:val="0"/>
        <w:lang w:val="en-US"/>
      </w:rPr>
    </w:lvl>
    <w:lvl w:ilvl="6" w:tplc="373C8A42">
      <w:start w:val="1"/>
      <w:numFmt w:val="bullet"/>
      <w:lvlText w:val="•"/>
      <w:lvlJc w:val="left"/>
      <w:rPr>
        <w:position w:val="0"/>
        <w:rtl w:val="0"/>
        <w:lang w:val="en-US"/>
      </w:rPr>
    </w:lvl>
    <w:lvl w:ilvl="7" w:tplc="8CD4378E">
      <w:start w:val="1"/>
      <w:numFmt w:val="bullet"/>
      <w:lvlText w:val="o"/>
      <w:lvlJc w:val="left"/>
      <w:rPr>
        <w:position w:val="0"/>
        <w:rtl w:val="0"/>
        <w:lang w:val="en-US"/>
      </w:rPr>
    </w:lvl>
    <w:lvl w:ilvl="8" w:tplc="99BC522A">
      <w:start w:val="1"/>
      <w:numFmt w:val="bullet"/>
      <w:lvlText w:val="▪"/>
      <w:lvlJc w:val="left"/>
      <w:rPr>
        <w:position w:val="0"/>
        <w:rtl w:val="0"/>
        <w:lang w:val="en-US"/>
      </w:rPr>
    </w:lvl>
  </w:abstractNum>
  <w:abstractNum w:abstractNumId="27" w15:restartNumberingAfterBreak="0">
    <w:nsid w:val="7C924FCB"/>
    <w:multiLevelType w:val="hybridMultilevel"/>
    <w:tmpl w:val="9AD42486"/>
    <w:lvl w:ilvl="0" w:tplc="9B00EE88">
      <w:start w:val="1"/>
      <w:numFmt w:val="bullet"/>
      <w:pStyle w:val="JANZSSA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7D17284E"/>
    <w:multiLevelType w:val="multilevel"/>
    <w:tmpl w:val="CA26CC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72002316">
    <w:abstractNumId w:val="27"/>
  </w:num>
  <w:num w:numId="2" w16cid:durableId="1679963613">
    <w:abstractNumId w:val="9"/>
  </w:num>
  <w:num w:numId="3" w16cid:durableId="1800565170">
    <w:abstractNumId w:val="24"/>
  </w:num>
  <w:num w:numId="4" w16cid:durableId="974063284">
    <w:abstractNumId w:val="15"/>
  </w:num>
  <w:num w:numId="5" w16cid:durableId="1213931697">
    <w:abstractNumId w:val="22"/>
  </w:num>
  <w:num w:numId="6" w16cid:durableId="1845784250">
    <w:abstractNumId w:val="26"/>
  </w:num>
  <w:num w:numId="7" w16cid:durableId="1426803105">
    <w:abstractNumId w:val="18"/>
  </w:num>
  <w:num w:numId="8" w16cid:durableId="958342066">
    <w:abstractNumId w:val="10"/>
  </w:num>
  <w:num w:numId="9" w16cid:durableId="1550527431">
    <w:abstractNumId w:val="14"/>
  </w:num>
  <w:num w:numId="10" w16cid:durableId="1185482586">
    <w:abstractNumId w:val="20"/>
  </w:num>
  <w:num w:numId="11" w16cid:durableId="391926766">
    <w:abstractNumId w:val="23"/>
  </w:num>
  <w:num w:numId="12" w16cid:durableId="1012688062">
    <w:abstractNumId w:val="17"/>
  </w:num>
  <w:num w:numId="13" w16cid:durableId="647319649">
    <w:abstractNumId w:val="19"/>
  </w:num>
  <w:num w:numId="14" w16cid:durableId="2139370768">
    <w:abstractNumId w:val="3"/>
  </w:num>
  <w:num w:numId="15" w16cid:durableId="523791787">
    <w:abstractNumId w:val="5"/>
  </w:num>
  <w:num w:numId="16" w16cid:durableId="688483143">
    <w:abstractNumId w:val="7"/>
  </w:num>
  <w:num w:numId="17" w16cid:durableId="358896463">
    <w:abstractNumId w:val="6"/>
  </w:num>
  <w:num w:numId="18" w16cid:durableId="1217663866">
    <w:abstractNumId w:val="4"/>
  </w:num>
  <w:num w:numId="19" w16cid:durableId="2144418623">
    <w:abstractNumId w:val="16"/>
  </w:num>
  <w:num w:numId="20" w16cid:durableId="2092391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715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56940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868816">
    <w:abstractNumId w:val="8"/>
  </w:num>
  <w:num w:numId="24" w16cid:durableId="1554930161">
    <w:abstractNumId w:val="13"/>
  </w:num>
  <w:num w:numId="25" w16cid:durableId="350422164">
    <w:abstractNumId w:val="28"/>
  </w:num>
  <w:num w:numId="26" w16cid:durableId="84154463">
    <w:abstractNumId w:val="0"/>
  </w:num>
  <w:num w:numId="27" w16cid:durableId="1698385205">
    <w:abstractNumId w:val="4"/>
    <w:lvlOverride w:ilvl="0">
      <w:startOverride w:val="1"/>
    </w:lvlOverride>
  </w:num>
  <w:num w:numId="28" w16cid:durableId="210118120">
    <w:abstractNumId w:val="21"/>
  </w:num>
  <w:num w:numId="29" w16cid:durableId="1922330722">
    <w:abstractNumId w:val="1"/>
  </w:num>
  <w:num w:numId="30" w16cid:durableId="1961952744">
    <w:abstractNumId w:val="2"/>
  </w:num>
  <w:num w:numId="31" w16cid:durableId="42002724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NZ"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ID" w:vendorID="64" w:dllVersion="0" w:nlCheck="1" w:checkStyle="0"/>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evenAndOddHeaders/>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65D66"/>
    <w:rsid w:val="00000799"/>
    <w:rsid w:val="00000828"/>
    <w:rsid w:val="00002639"/>
    <w:rsid w:val="0000300F"/>
    <w:rsid w:val="00003AA3"/>
    <w:rsid w:val="0000474A"/>
    <w:rsid w:val="00004CE0"/>
    <w:rsid w:val="00004CFE"/>
    <w:rsid w:val="00005A10"/>
    <w:rsid w:val="00005B89"/>
    <w:rsid w:val="00010656"/>
    <w:rsid w:val="00010F77"/>
    <w:rsid w:val="0001206D"/>
    <w:rsid w:val="00012629"/>
    <w:rsid w:val="00012A6E"/>
    <w:rsid w:val="000139EA"/>
    <w:rsid w:val="00014648"/>
    <w:rsid w:val="000148FF"/>
    <w:rsid w:val="0001568A"/>
    <w:rsid w:val="00015E35"/>
    <w:rsid w:val="0001733E"/>
    <w:rsid w:val="00017935"/>
    <w:rsid w:val="00020D1D"/>
    <w:rsid w:val="000229AA"/>
    <w:rsid w:val="0002333B"/>
    <w:rsid w:val="00023E29"/>
    <w:rsid w:val="00024959"/>
    <w:rsid w:val="00024B0F"/>
    <w:rsid w:val="000257E0"/>
    <w:rsid w:val="0002585B"/>
    <w:rsid w:val="00025E34"/>
    <w:rsid w:val="000264C3"/>
    <w:rsid w:val="00027425"/>
    <w:rsid w:val="00027D0A"/>
    <w:rsid w:val="000303BC"/>
    <w:rsid w:val="00030463"/>
    <w:rsid w:val="00031E65"/>
    <w:rsid w:val="000326F9"/>
    <w:rsid w:val="00036889"/>
    <w:rsid w:val="00036B09"/>
    <w:rsid w:val="00036F78"/>
    <w:rsid w:val="00037D5D"/>
    <w:rsid w:val="000411ED"/>
    <w:rsid w:val="00043A41"/>
    <w:rsid w:val="00043E2B"/>
    <w:rsid w:val="00044F5F"/>
    <w:rsid w:val="0004547B"/>
    <w:rsid w:val="00046381"/>
    <w:rsid w:val="0004750C"/>
    <w:rsid w:val="000501F0"/>
    <w:rsid w:val="00052620"/>
    <w:rsid w:val="00053360"/>
    <w:rsid w:val="000552BE"/>
    <w:rsid w:val="0005549E"/>
    <w:rsid w:val="00056908"/>
    <w:rsid w:val="00057A0D"/>
    <w:rsid w:val="00057AAA"/>
    <w:rsid w:val="00060689"/>
    <w:rsid w:val="00061765"/>
    <w:rsid w:val="000623AD"/>
    <w:rsid w:val="00062C2A"/>
    <w:rsid w:val="00063BDA"/>
    <w:rsid w:val="00064640"/>
    <w:rsid w:val="00067B6F"/>
    <w:rsid w:val="00076361"/>
    <w:rsid w:val="00080A7F"/>
    <w:rsid w:val="000829E6"/>
    <w:rsid w:val="00083C01"/>
    <w:rsid w:val="000842DF"/>
    <w:rsid w:val="00084B4B"/>
    <w:rsid w:val="00084C94"/>
    <w:rsid w:val="00086F9E"/>
    <w:rsid w:val="0008735C"/>
    <w:rsid w:val="000877D7"/>
    <w:rsid w:val="00091781"/>
    <w:rsid w:val="00093C0A"/>
    <w:rsid w:val="000941C6"/>
    <w:rsid w:val="00095FBC"/>
    <w:rsid w:val="00096ACC"/>
    <w:rsid w:val="00096F85"/>
    <w:rsid w:val="000A0691"/>
    <w:rsid w:val="000A07D8"/>
    <w:rsid w:val="000A0E3F"/>
    <w:rsid w:val="000A3749"/>
    <w:rsid w:val="000A3937"/>
    <w:rsid w:val="000A3AB7"/>
    <w:rsid w:val="000A3E2B"/>
    <w:rsid w:val="000A5DC4"/>
    <w:rsid w:val="000A78FF"/>
    <w:rsid w:val="000B029F"/>
    <w:rsid w:val="000B0A8E"/>
    <w:rsid w:val="000B1623"/>
    <w:rsid w:val="000B2039"/>
    <w:rsid w:val="000B32CD"/>
    <w:rsid w:val="000B5205"/>
    <w:rsid w:val="000B6B72"/>
    <w:rsid w:val="000B7403"/>
    <w:rsid w:val="000B79A4"/>
    <w:rsid w:val="000B7E04"/>
    <w:rsid w:val="000C01BB"/>
    <w:rsid w:val="000C02B0"/>
    <w:rsid w:val="000C0C49"/>
    <w:rsid w:val="000C0FB5"/>
    <w:rsid w:val="000C1BFA"/>
    <w:rsid w:val="000C214C"/>
    <w:rsid w:val="000C3BA6"/>
    <w:rsid w:val="000C5212"/>
    <w:rsid w:val="000C579F"/>
    <w:rsid w:val="000C7AA4"/>
    <w:rsid w:val="000C7E87"/>
    <w:rsid w:val="000D56B6"/>
    <w:rsid w:val="000D6AEC"/>
    <w:rsid w:val="000D7A40"/>
    <w:rsid w:val="000E05AE"/>
    <w:rsid w:val="000E0AD0"/>
    <w:rsid w:val="000E1409"/>
    <w:rsid w:val="000E1577"/>
    <w:rsid w:val="000E3F6F"/>
    <w:rsid w:val="000E5088"/>
    <w:rsid w:val="000E6801"/>
    <w:rsid w:val="000E79F2"/>
    <w:rsid w:val="000F0099"/>
    <w:rsid w:val="000F03BD"/>
    <w:rsid w:val="000F0A50"/>
    <w:rsid w:val="000F0DDF"/>
    <w:rsid w:val="000F132C"/>
    <w:rsid w:val="000F1ED5"/>
    <w:rsid w:val="000F60D9"/>
    <w:rsid w:val="000F6C9D"/>
    <w:rsid w:val="0010135B"/>
    <w:rsid w:val="00102A2F"/>
    <w:rsid w:val="00103260"/>
    <w:rsid w:val="00103A7E"/>
    <w:rsid w:val="00104130"/>
    <w:rsid w:val="001054A4"/>
    <w:rsid w:val="001104A5"/>
    <w:rsid w:val="001111F5"/>
    <w:rsid w:val="00111DF2"/>
    <w:rsid w:val="001121CA"/>
    <w:rsid w:val="00112366"/>
    <w:rsid w:val="00112981"/>
    <w:rsid w:val="00114746"/>
    <w:rsid w:val="00115C56"/>
    <w:rsid w:val="001161BD"/>
    <w:rsid w:val="00117477"/>
    <w:rsid w:val="00120AD7"/>
    <w:rsid w:val="001211B4"/>
    <w:rsid w:val="00121BC7"/>
    <w:rsid w:val="0012217E"/>
    <w:rsid w:val="00122A8E"/>
    <w:rsid w:val="00122DD3"/>
    <w:rsid w:val="00122FBD"/>
    <w:rsid w:val="0012423C"/>
    <w:rsid w:val="00124614"/>
    <w:rsid w:val="001259F9"/>
    <w:rsid w:val="00126293"/>
    <w:rsid w:val="00126FB1"/>
    <w:rsid w:val="00130955"/>
    <w:rsid w:val="00130AC8"/>
    <w:rsid w:val="00131C86"/>
    <w:rsid w:val="0013302E"/>
    <w:rsid w:val="00133E6C"/>
    <w:rsid w:val="001371C1"/>
    <w:rsid w:val="00137490"/>
    <w:rsid w:val="00140ACA"/>
    <w:rsid w:val="00140CD3"/>
    <w:rsid w:val="00143D40"/>
    <w:rsid w:val="0014562E"/>
    <w:rsid w:val="0014746F"/>
    <w:rsid w:val="00147A84"/>
    <w:rsid w:val="00150665"/>
    <w:rsid w:val="00152486"/>
    <w:rsid w:val="001547F2"/>
    <w:rsid w:val="00154C01"/>
    <w:rsid w:val="0016012E"/>
    <w:rsid w:val="001609D7"/>
    <w:rsid w:val="00161B6D"/>
    <w:rsid w:val="001620F3"/>
    <w:rsid w:val="00164790"/>
    <w:rsid w:val="0016509E"/>
    <w:rsid w:val="00165386"/>
    <w:rsid w:val="001658F2"/>
    <w:rsid w:val="0016605C"/>
    <w:rsid w:val="001705CA"/>
    <w:rsid w:val="001740D6"/>
    <w:rsid w:val="00174F9D"/>
    <w:rsid w:val="00175403"/>
    <w:rsid w:val="00176032"/>
    <w:rsid w:val="00176F1D"/>
    <w:rsid w:val="00177ECC"/>
    <w:rsid w:val="00184397"/>
    <w:rsid w:val="0018444E"/>
    <w:rsid w:val="001852A6"/>
    <w:rsid w:val="0018559E"/>
    <w:rsid w:val="00185A70"/>
    <w:rsid w:val="00186F72"/>
    <w:rsid w:val="00191C34"/>
    <w:rsid w:val="00192809"/>
    <w:rsid w:val="00192A9B"/>
    <w:rsid w:val="0019448B"/>
    <w:rsid w:val="001947F1"/>
    <w:rsid w:val="00196760"/>
    <w:rsid w:val="001969C5"/>
    <w:rsid w:val="001A0742"/>
    <w:rsid w:val="001A21E9"/>
    <w:rsid w:val="001A2913"/>
    <w:rsid w:val="001A3A6C"/>
    <w:rsid w:val="001A4359"/>
    <w:rsid w:val="001A4E89"/>
    <w:rsid w:val="001A5408"/>
    <w:rsid w:val="001A5596"/>
    <w:rsid w:val="001B0263"/>
    <w:rsid w:val="001B08CB"/>
    <w:rsid w:val="001B09EF"/>
    <w:rsid w:val="001B209B"/>
    <w:rsid w:val="001B239A"/>
    <w:rsid w:val="001B30E1"/>
    <w:rsid w:val="001B4175"/>
    <w:rsid w:val="001C0B3F"/>
    <w:rsid w:val="001C2F10"/>
    <w:rsid w:val="001C5539"/>
    <w:rsid w:val="001C5D22"/>
    <w:rsid w:val="001D0B2F"/>
    <w:rsid w:val="001D1A6A"/>
    <w:rsid w:val="001D2ED0"/>
    <w:rsid w:val="001D2EDF"/>
    <w:rsid w:val="001D3AD5"/>
    <w:rsid w:val="001D3E81"/>
    <w:rsid w:val="001D4089"/>
    <w:rsid w:val="001D50D7"/>
    <w:rsid w:val="001D597E"/>
    <w:rsid w:val="001D7FAD"/>
    <w:rsid w:val="001D7FD4"/>
    <w:rsid w:val="001E09ED"/>
    <w:rsid w:val="001E1301"/>
    <w:rsid w:val="001E29E5"/>
    <w:rsid w:val="001E2BBE"/>
    <w:rsid w:val="001E380B"/>
    <w:rsid w:val="001E3B97"/>
    <w:rsid w:val="001E3E1C"/>
    <w:rsid w:val="001E3FDF"/>
    <w:rsid w:val="001E419F"/>
    <w:rsid w:val="001E50EC"/>
    <w:rsid w:val="001E5C48"/>
    <w:rsid w:val="001F2096"/>
    <w:rsid w:val="001F2C26"/>
    <w:rsid w:val="001F39E0"/>
    <w:rsid w:val="001F4A56"/>
    <w:rsid w:val="001F561D"/>
    <w:rsid w:val="001F737B"/>
    <w:rsid w:val="00201E12"/>
    <w:rsid w:val="0020217A"/>
    <w:rsid w:val="00202187"/>
    <w:rsid w:val="002022FE"/>
    <w:rsid w:val="00204302"/>
    <w:rsid w:val="00204C60"/>
    <w:rsid w:val="0020595F"/>
    <w:rsid w:val="00205CFE"/>
    <w:rsid w:val="00206F8D"/>
    <w:rsid w:val="00207B48"/>
    <w:rsid w:val="00207C35"/>
    <w:rsid w:val="00214E9E"/>
    <w:rsid w:val="00221BAC"/>
    <w:rsid w:val="00222B1B"/>
    <w:rsid w:val="00223322"/>
    <w:rsid w:val="00223ED5"/>
    <w:rsid w:val="002241C7"/>
    <w:rsid w:val="0022564E"/>
    <w:rsid w:val="00226E60"/>
    <w:rsid w:val="002275C5"/>
    <w:rsid w:val="00227E3E"/>
    <w:rsid w:val="00227F1D"/>
    <w:rsid w:val="00230079"/>
    <w:rsid w:val="002307A9"/>
    <w:rsid w:val="002310F9"/>
    <w:rsid w:val="00232B8B"/>
    <w:rsid w:val="00233251"/>
    <w:rsid w:val="00233DFF"/>
    <w:rsid w:val="00234B6C"/>
    <w:rsid w:val="002353F9"/>
    <w:rsid w:val="00240D8B"/>
    <w:rsid w:val="00240EC8"/>
    <w:rsid w:val="002419CE"/>
    <w:rsid w:val="002422B6"/>
    <w:rsid w:val="0024478D"/>
    <w:rsid w:val="00246361"/>
    <w:rsid w:val="00246DF2"/>
    <w:rsid w:val="0025052C"/>
    <w:rsid w:val="0025072D"/>
    <w:rsid w:val="0025091C"/>
    <w:rsid w:val="00250D52"/>
    <w:rsid w:val="00254162"/>
    <w:rsid w:val="00254D16"/>
    <w:rsid w:val="0025613B"/>
    <w:rsid w:val="00256770"/>
    <w:rsid w:val="00256F72"/>
    <w:rsid w:val="00257B2D"/>
    <w:rsid w:val="00257B89"/>
    <w:rsid w:val="002609A6"/>
    <w:rsid w:val="00260E5F"/>
    <w:rsid w:val="00261778"/>
    <w:rsid w:val="00262C70"/>
    <w:rsid w:val="00264F3C"/>
    <w:rsid w:val="0026562F"/>
    <w:rsid w:val="00265D66"/>
    <w:rsid w:val="00270C2D"/>
    <w:rsid w:val="00271BE1"/>
    <w:rsid w:val="00272125"/>
    <w:rsid w:val="00273196"/>
    <w:rsid w:val="00273FC8"/>
    <w:rsid w:val="002741B9"/>
    <w:rsid w:val="002748B9"/>
    <w:rsid w:val="00274AF8"/>
    <w:rsid w:val="00274B74"/>
    <w:rsid w:val="00275A1D"/>
    <w:rsid w:val="0027615A"/>
    <w:rsid w:val="00276992"/>
    <w:rsid w:val="002771FD"/>
    <w:rsid w:val="002772F9"/>
    <w:rsid w:val="00280385"/>
    <w:rsid w:val="00281A70"/>
    <w:rsid w:val="00290D34"/>
    <w:rsid w:val="00290FDC"/>
    <w:rsid w:val="002937F0"/>
    <w:rsid w:val="00294932"/>
    <w:rsid w:val="00295363"/>
    <w:rsid w:val="00297BCE"/>
    <w:rsid w:val="002A0932"/>
    <w:rsid w:val="002A2371"/>
    <w:rsid w:val="002A2D82"/>
    <w:rsid w:val="002A3029"/>
    <w:rsid w:val="002A341E"/>
    <w:rsid w:val="002A3A86"/>
    <w:rsid w:val="002A3CBA"/>
    <w:rsid w:val="002A5E42"/>
    <w:rsid w:val="002A6155"/>
    <w:rsid w:val="002A6180"/>
    <w:rsid w:val="002A6663"/>
    <w:rsid w:val="002A6C0A"/>
    <w:rsid w:val="002A7BB7"/>
    <w:rsid w:val="002A7BC3"/>
    <w:rsid w:val="002B01DC"/>
    <w:rsid w:val="002B0419"/>
    <w:rsid w:val="002B0A68"/>
    <w:rsid w:val="002B135A"/>
    <w:rsid w:val="002B19F8"/>
    <w:rsid w:val="002B3CC5"/>
    <w:rsid w:val="002B550F"/>
    <w:rsid w:val="002C1392"/>
    <w:rsid w:val="002C3219"/>
    <w:rsid w:val="002C36FC"/>
    <w:rsid w:val="002C4474"/>
    <w:rsid w:val="002C4ECE"/>
    <w:rsid w:val="002C7117"/>
    <w:rsid w:val="002D28D5"/>
    <w:rsid w:val="002D477D"/>
    <w:rsid w:val="002E0694"/>
    <w:rsid w:val="002E1A63"/>
    <w:rsid w:val="002E1DA1"/>
    <w:rsid w:val="002E394D"/>
    <w:rsid w:val="002E4D48"/>
    <w:rsid w:val="002E6680"/>
    <w:rsid w:val="002E66D1"/>
    <w:rsid w:val="002F0230"/>
    <w:rsid w:val="002F0C99"/>
    <w:rsid w:val="002F0CB5"/>
    <w:rsid w:val="002F2745"/>
    <w:rsid w:val="002F288D"/>
    <w:rsid w:val="002F4C6B"/>
    <w:rsid w:val="002F4F15"/>
    <w:rsid w:val="002F512A"/>
    <w:rsid w:val="002F55A8"/>
    <w:rsid w:val="002F55D0"/>
    <w:rsid w:val="002F766F"/>
    <w:rsid w:val="00300F33"/>
    <w:rsid w:val="003015E5"/>
    <w:rsid w:val="00301E88"/>
    <w:rsid w:val="00303F96"/>
    <w:rsid w:val="0030499D"/>
    <w:rsid w:val="00306620"/>
    <w:rsid w:val="00307CC0"/>
    <w:rsid w:val="003175BE"/>
    <w:rsid w:val="00317BEF"/>
    <w:rsid w:val="0032178A"/>
    <w:rsid w:val="0032203B"/>
    <w:rsid w:val="00325368"/>
    <w:rsid w:val="0032603E"/>
    <w:rsid w:val="003279C1"/>
    <w:rsid w:val="0033151E"/>
    <w:rsid w:val="003325C5"/>
    <w:rsid w:val="0033328A"/>
    <w:rsid w:val="0033333B"/>
    <w:rsid w:val="00333D5E"/>
    <w:rsid w:val="003343C8"/>
    <w:rsid w:val="0033464A"/>
    <w:rsid w:val="00334C26"/>
    <w:rsid w:val="00335A22"/>
    <w:rsid w:val="00335CE0"/>
    <w:rsid w:val="00336C1B"/>
    <w:rsid w:val="003376A3"/>
    <w:rsid w:val="0034146A"/>
    <w:rsid w:val="0034160D"/>
    <w:rsid w:val="0034349D"/>
    <w:rsid w:val="003450EB"/>
    <w:rsid w:val="00347463"/>
    <w:rsid w:val="00347FB6"/>
    <w:rsid w:val="00350238"/>
    <w:rsid w:val="00350608"/>
    <w:rsid w:val="0035152B"/>
    <w:rsid w:val="0035494D"/>
    <w:rsid w:val="00355346"/>
    <w:rsid w:val="003561BD"/>
    <w:rsid w:val="00357324"/>
    <w:rsid w:val="00361955"/>
    <w:rsid w:val="00361978"/>
    <w:rsid w:val="00362FA9"/>
    <w:rsid w:val="00364E17"/>
    <w:rsid w:val="0036547B"/>
    <w:rsid w:val="00367700"/>
    <w:rsid w:val="00371202"/>
    <w:rsid w:val="00372460"/>
    <w:rsid w:val="00372F9C"/>
    <w:rsid w:val="00373D92"/>
    <w:rsid w:val="00375F38"/>
    <w:rsid w:val="00375FC1"/>
    <w:rsid w:val="00376D25"/>
    <w:rsid w:val="0037796F"/>
    <w:rsid w:val="00377D02"/>
    <w:rsid w:val="00380203"/>
    <w:rsid w:val="00380400"/>
    <w:rsid w:val="00380ACF"/>
    <w:rsid w:val="00380AD1"/>
    <w:rsid w:val="00381B11"/>
    <w:rsid w:val="003821D1"/>
    <w:rsid w:val="003840DC"/>
    <w:rsid w:val="00384DEC"/>
    <w:rsid w:val="00385864"/>
    <w:rsid w:val="003859A5"/>
    <w:rsid w:val="003868AB"/>
    <w:rsid w:val="003900E3"/>
    <w:rsid w:val="00390140"/>
    <w:rsid w:val="00393122"/>
    <w:rsid w:val="003932D4"/>
    <w:rsid w:val="003937A8"/>
    <w:rsid w:val="003937D3"/>
    <w:rsid w:val="00394A7E"/>
    <w:rsid w:val="003958A3"/>
    <w:rsid w:val="003958A6"/>
    <w:rsid w:val="00396A2A"/>
    <w:rsid w:val="00396B68"/>
    <w:rsid w:val="003A1433"/>
    <w:rsid w:val="003A1FA6"/>
    <w:rsid w:val="003A22D0"/>
    <w:rsid w:val="003A2CE2"/>
    <w:rsid w:val="003A3999"/>
    <w:rsid w:val="003A4192"/>
    <w:rsid w:val="003A592C"/>
    <w:rsid w:val="003A70B1"/>
    <w:rsid w:val="003A7CF0"/>
    <w:rsid w:val="003B0874"/>
    <w:rsid w:val="003B0E4D"/>
    <w:rsid w:val="003B1750"/>
    <w:rsid w:val="003B2135"/>
    <w:rsid w:val="003B4A61"/>
    <w:rsid w:val="003C099F"/>
    <w:rsid w:val="003C0C7F"/>
    <w:rsid w:val="003C126B"/>
    <w:rsid w:val="003C238D"/>
    <w:rsid w:val="003C25F8"/>
    <w:rsid w:val="003C3DB1"/>
    <w:rsid w:val="003C4122"/>
    <w:rsid w:val="003C4AEA"/>
    <w:rsid w:val="003C4FD6"/>
    <w:rsid w:val="003C5395"/>
    <w:rsid w:val="003C6374"/>
    <w:rsid w:val="003D1131"/>
    <w:rsid w:val="003D1605"/>
    <w:rsid w:val="003D3486"/>
    <w:rsid w:val="003D38F5"/>
    <w:rsid w:val="003D3C9B"/>
    <w:rsid w:val="003D3D22"/>
    <w:rsid w:val="003D4236"/>
    <w:rsid w:val="003D47F3"/>
    <w:rsid w:val="003D51CA"/>
    <w:rsid w:val="003D61AA"/>
    <w:rsid w:val="003D640E"/>
    <w:rsid w:val="003D64B6"/>
    <w:rsid w:val="003D66ED"/>
    <w:rsid w:val="003D7081"/>
    <w:rsid w:val="003D72A7"/>
    <w:rsid w:val="003E1019"/>
    <w:rsid w:val="003E1291"/>
    <w:rsid w:val="003E2C47"/>
    <w:rsid w:val="003E3E3B"/>
    <w:rsid w:val="003E446B"/>
    <w:rsid w:val="003E48D7"/>
    <w:rsid w:val="003E5FB2"/>
    <w:rsid w:val="003E6D37"/>
    <w:rsid w:val="003F0493"/>
    <w:rsid w:val="003F2AD6"/>
    <w:rsid w:val="003F4138"/>
    <w:rsid w:val="003F504A"/>
    <w:rsid w:val="003F5672"/>
    <w:rsid w:val="003F5E34"/>
    <w:rsid w:val="003F60A8"/>
    <w:rsid w:val="003F6BD1"/>
    <w:rsid w:val="003F72B9"/>
    <w:rsid w:val="003F7DAA"/>
    <w:rsid w:val="00401128"/>
    <w:rsid w:val="004012DE"/>
    <w:rsid w:val="0040328B"/>
    <w:rsid w:val="004048FE"/>
    <w:rsid w:val="00405547"/>
    <w:rsid w:val="004058EA"/>
    <w:rsid w:val="00406391"/>
    <w:rsid w:val="00406C10"/>
    <w:rsid w:val="00407862"/>
    <w:rsid w:val="00411FF8"/>
    <w:rsid w:val="00414AB6"/>
    <w:rsid w:val="00415E02"/>
    <w:rsid w:val="0041624E"/>
    <w:rsid w:val="00416522"/>
    <w:rsid w:val="004167FD"/>
    <w:rsid w:val="00416FCA"/>
    <w:rsid w:val="00417637"/>
    <w:rsid w:val="0041766C"/>
    <w:rsid w:val="00421391"/>
    <w:rsid w:val="0042353C"/>
    <w:rsid w:val="00423C10"/>
    <w:rsid w:val="00423E25"/>
    <w:rsid w:val="004240C2"/>
    <w:rsid w:val="004248F1"/>
    <w:rsid w:val="00424EB3"/>
    <w:rsid w:val="00425458"/>
    <w:rsid w:val="00427D05"/>
    <w:rsid w:val="004322BF"/>
    <w:rsid w:val="0043322D"/>
    <w:rsid w:val="004333D0"/>
    <w:rsid w:val="004336A0"/>
    <w:rsid w:val="00437334"/>
    <w:rsid w:val="00437A95"/>
    <w:rsid w:val="00442F78"/>
    <w:rsid w:val="004431D6"/>
    <w:rsid w:val="00443F85"/>
    <w:rsid w:val="00445F9A"/>
    <w:rsid w:val="0044702F"/>
    <w:rsid w:val="0044709B"/>
    <w:rsid w:val="0045059E"/>
    <w:rsid w:val="0045115D"/>
    <w:rsid w:val="004533CD"/>
    <w:rsid w:val="004537F5"/>
    <w:rsid w:val="0045432D"/>
    <w:rsid w:val="004564E1"/>
    <w:rsid w:val="004568DA"/>
    <w:rsid w:val="00456A88"/>
    <w:rsid w:val="004613F8"/>
    <w:rsid w:val="004627CB"/>
    <w:rsid w:val="00464D17"/>
    <w:rsid w:val="00465A54"/>
    <w:rsid w:val="00467B48"/>
    <w:rsid w:val="00470D33"/>
    <w:rsid w:val="00473459"/>
    <w:rsid w:val="00473586"/>
    <w:rsid w:val="00476663"/>
    <w:rsid w:val="00477E8E"/>
    <w:rsid w:val="00480DB2"/>
    <w:rsid w:val="004828F3"/>
    <w:rsid w:val="00482C01"/>
    <w:rsid w:val="00483955"/>
    <w:rsid w:val="00483AA6"/>
    <w:rsid w:val="00484147"/>
    <w:rsid w:val="00484516"/>
    <w:rsid w:val="00484E49"/>
    <w:rsid w:val="0048554D"/>
    <w:rsid w:val="004857C7"/>
    <w:rsid w:val="004857E5"/>
    <w:rsid w:val="00486062"/>
    <w:rsid w:val="004861C3"/>
    <w:rsid w:val="004871E8"/>
    <w:rsid w:val="00491933"/>
    <w:rsid w:val="00491E0A"/>
    <w:rsid w:val="004929D1"/>
    <w:rsid w:val="00492A6C"/>
    <w:rsid w:val="00492D5B"/>
    <w:rsid w:val="00493BEC"/>
    <w:rsid w:val="004945A6"/>
    <w:rsid w:val="00494A1B"/>
    <w:rsid w:val="004959EC"/>
    <w:rsid w:val="00496591"/>
    <w:rsid w:val="00496834"/>
    <w:rsid w:val="004A17E0"/>
    <w:rsid w:val="004A3F82"/>
    <w:rsid w:val="004A485B"/>
    <w:rsid w:val="004A65C5"/>
    <w:rsid w:val="004A6B56"/>
    <w:rsid w:val="004B02F4"/>
    <w:rsid w:val="004B08AE"/>
    <w:rsid w:val="004B0A23"/>
    <w:rsid w:val="004B15B0"/>
    <w:rsid w:val="004B1967"/>
    <w:rsid w:val="004B1A66"/>
    <w:rsid w:val="004B1C03"/>
    <w:rsid w:val="004B2BB2"/>
    <w:rsid w:val="004B4130"/>
    <w:rsid w:val="004B4456"/>
    <w:rsid w:val="004B47E8"/>
    <w:rsid w:val="004B51D6"/>
    <w:rsid w:val="004B60CE"/>
    <w:rsid w:val="004B6341"/>
    <w:rsid w:val="004B780C"/>
    <w:rsid w:val="004C0D88"/>
    <w:rsid w:val="004C41DD"/>
    <w:rsid w:val="004C6263"/>
    <w:rsid w:val="004C7836"/>
    <w:rsid w:val="004C7DD8"/>
    <w:rsid w:val="004D3CDF"/>
    <w:rsid w:val="004D45E8"/>
    <w:rsid w:val="004D5047"/>
    <w:rsid w:val="004D5335"/>
    <w:rsid w:val="004D5510"/>
    <w:rsid w:val="004D5664"/>
    <w:rsid w:val="004D61BB"/>
    <w:rsid w:val="004D7915"/>
    <w:rsid w:val="004E004D"/>
    <w:rsid w:val="004E1E9A"/>
    <w:rsid w:val="004E3D05"/>
    <w:rsid w:val="004E4BA2"/>
    <w:rsid w:val="004E540F"/>
    <w:rsid w:val="004E61C9"/>
    <w:rsid w:val="004F01AF"/>
    <w:rsid w:val="004F2016"/>
    <w:rsid w:val="004F24CB"/>
    <w:rsid w:val="00500C2E"/>
    <w:rsid w:val="00500E00"/>
    <w:rsid w:val="00501E98"/>
    <w:rsid w:val="0050213D"/>
    <w:rsid w:val="00503331"/>
    <w:rsid w:val="00506EB9"/>
    <w:rsid w:val="005079A5"/>
    <w:rsid w:val="00510DD5"/>
    <w:rsid w:val="005114BA"/>
    <w:rsid w:val="00511B26"/>
    <w:rsid w:val="00512E9C"/>
    <w:rsid w:val="005143C7"/>
    <w:rsid w:val="00517571"/>
    <w:rsid w:val="00517A51"/>
    <w:rsid w:val="00520016"/>
    <w:rsid w:val="00521720"/>
    <w:rsid w:val="005219CB"/>
    <w:rsid w:val="00522748"/>
    <w:rsid w:val="00522CE7"/>
    <w:rsid w:val="00523F97"/>
    <w:rsid w:val="00525B26"/>
    <w:rsid w:val="00526003"/>
    <w:rsid w:val="00527507"/>
    <w:rsid w:val="0053118D"/>
    <w:rsid w:val="00531669"/>
    <w:rsid w:val="00534688"/>
    <w:rsid w:val="00535A88"/>
    <w:rsid w:val="005420A2"/>
    <w:rsid w:val="005431FB"/>
    <w:rsid w:val="00543A0C"/>
    <w:rsid w:val="0054421F"/>
    <w:rsid w:val="00545F29"/>
    <w:rsid w:val="00546575"/>
    <w:rsid w:val="00546DF1"/>
    <w:rsid w:val="00546DF4"/>
    <w:rsid w:val="005477A0"/>
    <w:rsid w:val="005525B5"/>
    <w:rsid w:val="0055501C"/>
    <w:rsid w:val="00555295"/>
    <w:rsid w:val="005553EC"/>
    <w:rsid w:val="00555803"/>
    <w:rsid w:val="00556F06"/>
    <w:rsid w:val="00560A67"/>
    <w:rsid w:val="00561D0F"/>
    <w:rsid w:val="00562306"/>
    <w:rsid w:val="00562889"/>
    <w:rsid w:val="005633E0"/>
    <w:rsid w:val="0056634B"/>
    <w:rsid w:val="00570CD1"/>
    <w:rsid w:val="005719CF"/>
    <w:rsid w:val="00571F4B"/>
    <w:rsid w:val="0057374B"/>
    <w:rsid w:val="00573F86"/>
    <w:rsid w:val="00574210"/>
    <w:rsid w:val="00574DB8"/>
    <w:rsid w:val="00574FF4"/>
    <w:rsid w:val="00575240"/>
    <w:rsid w:val="00576565"/>
    <w:rsid w:val="005775EB"/>
    <w:rsid w:val="005777DF"/>
    <w:rsid w:val="00577856"/>
    <w:rsid w:val="005778BA"/>
    <w:rsid w:val="005778C3"/>
    <w:rsid w:val="00577F00"/>
    <w:rsid w:val="005801BD"/>
    <w:rsid w:val="005802E9"/>
    <w:rsid w:val="005825AF"/>
    <w:rsid w:val="00583CBD"/>
    <w:rsid w:val="00584D6A"/>
    <w:rsid w:val="00591646"/>
    <w:rsid w:val="00592121"/>
    <w:rsid w:val="00592490"/>
    <w:rsid w:val="00592BA5"/>
    <w:rsid w:val="0059311D"/>
    <w:rsid w:val="00593189"/>
    <w:rsid w:val="0059657E"/>
    <w:rsid w:val="00596ECA"/>
    <w:rsid w:val="005A0368"/>
    <w:rsid w:val="005A07C6"/>
    <w:rsid w:val="005A1524"/>
    <w:rsid w:val="005A192E"/>
    <w:rsid w:val="005A397F"/>
    <w:rsid w:val="005A505A"/>
    <w:rsid w:val="005A56C8"/>
    <w:rsid w:val="005A6B23"/>
    <w:rsid w:val="005A6DDB"/>
    <w:rsid w:val="005B018F"/>
    <w:rsid w:val="005B0EA7"/>
    <w:rsid w:val="005B0EFE"/>
    <w:rsid w:val="005B2114"/>
    <w:rsid w:val="005B42F7"/>
    <w:rsid w:val="005B4A17"/>
    <w:rsid w:val="005B59B6"/>
    <w:rsid w:val="005B5BB2"/>
    <w:rsid w:val="005B5CB7"/>
    <w:rsid w:val="005B6164"/>
    <w:rsid w:val="005B6516"/>
    <w:rsid w:val="005C0126"/>
    <w:rsid w:val="005C026D"/>
    <w:rsid w:val="005C0635"/>
    <w:rsid w:val="005C090B"/>
    <w:rsid w:val="005C093E"/>
    <w:rsid w:val="005C09DD"/>
    <w:rsid w:val="005C2ED8"/>
    <w:rsid w:val="005C4B3C"/>
    <w:rsid w:val="005C4FC7"/>
    <w:rsid w:val="005C5B71"/>
    <w:rsid w:val="005C7D15"/>
    <w:rsid w:val="005D1E3C"/>
    <w:rsid w:val="005D39FA"/>
    <w:rsid w:val="005D3F38"/>
    <w:rsid w:val="005D43F4"/>
    <w:rsid w:val="005D450D"/>
    <w:rsid w:val="005D6687"/>
    <w:rsid w:val="005D7DFD"/>
    <w:rsid w:val="005D7FA3"/>
    <w:rsid w:val="005E04E4"/>
    <w:rsid w:val="005E3815"/>
    <w:rsid w:val="005E45B9"/>
    <w:rsid w:val="005E468B"/>
    <w:rsid w:val="005E4D50"/>
    <w:rsid w:val="005E6F77"/>
    <w:rsid w:val="005E6FDF"/>
    <w:rsid w:val="005E739C"/>
    <w:rsid w:val="005E7617"/>
    <w:rsid w:val="005F091B"/>
    <w:rsid w:val="005F1652"/>
    <w:rsid w:val="005F31DD"/>
    <w:rsid w:val="005F36DB"/>
    <w:rsid w:val="005F3B73"/>
    <w:rsid w:val="005F3EE8"/>
    <w:rsid w:val="005F4134"/>
    <w:rsid w:val="005F41CA"/>
    <w:rsid w:val="005F7D19"/>
    <w:rsid w:val="00601A13"/>
    <w:rsid w:val="00603FD7"/>
    <w:rsid w:val="00604C79"/>
    <w:rsid w:val="00605AE0"/>
    <w:rsid w:val="0061013E"/>
    <w:rsid w:val="00613467"/>
    <w:rsid w:val="00614F4F"/>
    <w:rsid w:val="006156E9"/>
    <w:rsid w:val="00616E62"/>
    <w:rsid w:val="00616F91"/>
    <w:rsid w:val="00617768"/>
    <w:rsid w:val="00617FF0"/>
    <w:rsid w:val="006203CC"/>
    <w:rsid w:val="0062075B"/>
    <w:rsid w:val="00624774"/>
    <w:rsid w:val="00624B01"/>
    <w:rsid w:val="006250C6"/>
    <w:rsid w:val="006258C4"/>
    <w:rsid w:val="006261DD"/>
    <w:rsid w:val="00627702"/>
    <w:rsid w:val="0063180C"/>
    <w:rsid w:val="00633B97"/>
    <w:rsid w:val="00633DAD"/>
    <w:rsid w:val="00635359"/>
    <w:rsid w:val="00635CC3"/>
    <w:rsid w:val="00635DE1"/>
    <w:rsid w:val="00635F1E"/>
    <w:rsid w:val="00637135"/>
    <w:rsid w:val="00640E96"/>
    <w:rsid w:val="00641369"/>
    <w:rsid w:val="006426D0"/>
    <w:rsid w:val="00642E6F"/>
    <w:rsid w:val="006430D0"/>
    <w:rsid w:val="0064410C"/>
    <w:rsid w:val="00646C0D"/>
    <w:rsid w:val="00646FB7"/>
    <w:rsid w:val="006476FB"/>
    <w:rsid w:val="00650E81"/>
    <w:rsid w:val="006525EB"/>
    <w:rsid w:val="00652D96"/>
    <w:rsid w:val="006541A1"/>
    <w:rsid w:val="006544D4"/>
    <w:rsid w:val="00661712"/>
    <w:rsid w:val="00661A45"/>
    <w:rsid w:val="006627BF"/>
    <w:rsid w:val="00663242"/>
    <w:rsid w:val="00664476"/>
    <w:rsid w:val="00665D2B"/>
    <w:rsid w:val="00666CEF"/>
    <w:rsid w:val="00667072"/>
    <w:rsid w:val="00667120"/>
    <w:rsid w:val="0066742F"/>
    <w:rsid w:val="0067042B"/>
    <w:rsid w:val="00673270"/>
    <w:rsid w:val="00673471"/>
    <w:rsid w:val="00675037"/>
    <w:rsid w:val="006761A0"/>
    <w:rsid w:val="00677A8C"/>
    <w:rsid w:val="00680E69"/>
    <w:rsid w:val="00682162"/>
    <w:rsid w:val="00682618"/>
    <w:rsid w:val="00682B18"/>
    <w:rsid w:val="00683B3B"/>
    <w:rsid w:val="00683D43"/>
    <w:rsid w:val="00686C9C"/>
    <w:rsid w:val="0068721D"/>
    <w:rsid w:val="00692AFA"/>
    <w:rsid w:val="00693597"/>
    <w:rsid w:val="006936EB"/>
    <w:rsid w:val="0069517E"/>
    <w:rsid w:val="00696C0C"/>
    <w:rsid w:val="00697AE9"/>
    <w:rsid w:val="00697E0F"/>
    <w:rsid w:val="006A0AF4"/>
    <w:rsid w:val="006A0C0A"/>
    <w:rsid w:val="006A1366"/>
    <w:rsid w:val="006A17BD"/>
    <w:rsid w:val="006A74D0"/>
    <w:rsid w:val="006B04F3"/>
    <w:rsid w:val="006B0CEF"/>
    <w:rsid w:val="006B1BC5"/>
    <w:rsid w:val="006B220C"/>
    <w:rsid w:val="006B27EB"/>
    <w:rsid w:val="006B3FF2"/>
    <w:rsid w:val="006B47DE"/>
    <w:rsid w:val="006B5A23"/>
    <w:rsid w:val="006B5E77"/>
    <w:rsid w:val="006B66D1"/>
    <w:rsid w:val="006B705F"/>
    <w:rsid w:val="006C3A07"/>
    <w:rsid w:val="006C58EC"/>
    <w:rsid w:val="006C750A"/>
    <w:rsid w:val="006C79F7"/>
    <w:rsid w:val="006D059D"/>
    <w:rsid w:val="006D1256"/>
    <w:rsid w:val="006D171B"/>
    <w:rsid w:val="006D2150"/>
    <w:rsid w:val="006D2C9F"/>
    <w:rsid w:val="006D2CC2"/>
    <w:rsid w:val="006D3BB5"/>
    <w:rsid w:val="006D3E2A"/>
    <w:rsid w:val="006E2F3C"/>
    <w:rsid w:val="006E49AD"/>
    <w:rsid w:val="006E5C54"/>
    <w:rsid w:val="006F13C0"/>
    <w:rsid w:val="006F2FA3"/>
    <w:rsid w:val="006F4E9F"/>
    <w:rsid w:val="006F58E5"/>
    <w:rsid w:val="006F5AE7"/>
    <w:rsid w:val="006F7127"/>
    <w:rsid w:val="0070006A"/>
    <w:rsid w:val="00701E76"/>
    <w:rsid w:val="007030E5"/>
    <w:rsid w:val="007032D6"/>
    <w:rsid w:val="007044B7"/>
    <w:rsid w:val="00704B6B"/>
    <w:rsid w:val="007057CE"/>
    <w:rsid w:val="007076AC"/>
    <w:rsid w:val="00707B17"/>
    <w:rsid w:val="0071075D"/>
    <w:rsid w:val="00711C26"/>
    <w:rsid w:val="00712312"/>
    <w:rsid w:val="007132EF"/>
    <w:rsid w:val="00713B7B"/>
    <w:rsid w:val="00714DFE"/>
    <w:rsid w:val="007150D2"/>
    <w:rsid w:val="00720C2D"/>
    <w:rsid w:val="007215C3"/>
    <w:rsid w:val="00721B3F"/>
    <w:rsid w:val="00721B72"/>
    <w:rsid w:val="00723345"/>
    <w:rsid w:val="007236E6"/>
    <w:rsid w:val="00724940"/>
    <w:rsid w:val="00725F04"/>
    <w:rsid w:val="0073021A"/>
    <w:rsid w:val="007304F7"/>
    <w:rsid w:val="007305E6"/>
    <w:rsid w:val="007329D7"/>
    <w:rsid w:val="0073353A"/>
    <w:rsid w:val="0073538B"/>
    <w:rsid w:val="007373CB"/>
    <w:rsid w:val="007375BE"/>
    <w:rsid w:val="00740175"/>
    <w:rsid w:val="00740C39"/>
    <w:rsid w:val="007411D4"/>
    <w:rsid w:val="00741668"/>
    <w:rsid w:val="007417EB"/>
    <w:rsid w:val="007423A3"/>
    <w:rsid w:val="00742F82"/>
    <w:rsid w:val="00743238"/>
    <w:rsid w:val="00743B14"/>
    <w:rsid w:val="0074531C"/>
    <w:rsid w:val="00746528"/>
    <w:rsid w:val="00746D1A"/>
    <w:rsid w:val="00747917"/>
    <w:rsid w:val="007503B5"/>
    <w:rsid w:val="00752A26"/>
    <w:rsid w:val="00753F9C"/>
    <w:rsid w:val="007541BF"/>
    <w:rsid w:val="00754679"/>
    <w:rsid w:val="00755EAB"/>
    <w:rsid w:val="007570EA"/>
    <w:rsid w:val="00760380"/>
    <w:rsid w:val="007617E9"/>
    <w:rsid w:val="007619E8"/>
    <w:rsid w:val="00761DBA"/>
    <w:rsid w:val="0076275A"/>
    <w:rsid w:val="00762911"/>
    <w:rsid w:val="0076316B"/>
    <w:rsid w:val="00766680"/>
    <w:rsid w:val="00766B69"/>
    <w:rsid w:val="00767578"/>
    <w:rsid w:val="0077004B"/>
    <w:rsid w:val="007707B8"/>
    <w:rsid w:val="007708A7"/>
    <w:rsid w:val="007712D9"/>
    <w:rsid w:val="00771F30"/>
    <w:rsid w:val="00773595"/>
    <w:rsid w:val="00773D5A"/>
    <w:rsid w:val="0077425B"/>
    <w:rsid w:val="00776DF0"/>
    <w:rsid w:val="007776E2"/>
    <w:rsid w:val="00781B9F"/>
    <w:rsid w:val="00781E73"/>
    <w:rsid w:val="007823DA"/>
    <w:rsid w:val="00785F4C"/>
    <w:rsid w:val="00786107"/>
    <w:rsid w:val="00787363"/>
    <w:rsid w:val="00787670"/>
    <w:rsid w:val="00787CDF"/>
    <w:rsid w:val="007901A3"/>
    <w:rsid w:val="00790265"/>
    <w:rsid w:val="00790FDC"/>
    <w:rsid w:val="00794EE1"/>
    <w:rsid w:val="00795F93"/>
    <w:rsid w:val="007975A6"/>
    <w:rsid w:val="007A0F1A"/>
    <w:rsid w:val="007A0F72"/>
    <w:rsid w:val="007A1C0C"/>
    <w:rsid w:val="007A42E8"/>
    <w:rsid w:val="007A6EB3"/>
    <w:rsid w:val="007C0C16"/>
    <w:rsid w:val="007C10B7"/>
    <w:rsid w:val="007C1D54"/>
    <w:rsid w:val="007C2D4A"/>
    <w:rsid w:val="007C464D"/>
    <w:rsid w:val="007C543D"/>
    <w:rsid w:val="007C6514"/>
    <w:rsid w:val="007C6891"/>
    <w:rsid w:val="007C6D59"/>
    <w:rsid w:val="007C6D83"/>
    <w:rsid w:val="007D2FD5"/>
    <w:rsid w:val="007D41E8"/>
    <w:rsid w:val="007D4458"/>
    <w:rsid w:val="007D4533"/>
    <w:rsid w:val="007D73A8"/>
    <w:rsid w:val="007D75A3"/>
    <w:rsid w:val="007E0452"/>
    <w:rsid w:val="007E2443"/>
    <w:rsid w:val="007E2588"/>
    <w:rsid w:val="007E2951"/>
    <w:rsid w:val="007E3A22"/>
    <w:rsid w:val="007E4397"/>
    <w:rsid w:val="007E4B16"/>
    <w:rsid w:val="007E4D88"/>
    <w:rsid w:val="007E4FB1"/>
    <w:rsid w:val="007E5596"/>
    <w:rsid w:val="007E571C"/>
    <w:rsid w:val="007E5D28"/>
    <w:rsid w:val="007E6CE6"/>
    <w:rsid w:val="007E7C68"/>
    <w:rsid w:val="007F2778"/>
    <w:rsid w:val="007F408D"/>
    <w:rsid w:val="007F4967"/>
    <w:rsid w:val="007F671E"/>
    <w:rsid w:val="00801C06"/>
    <w:rsid w:val="00802A6E"/>
    <w:rsid w:val="008033D0"/>
    <w:rsid w:val="008043EB"/>
    <w:rsid w:val="008048A1"/>
    <w:rsid w:val="00805428"/>
    <w:rsid w:val="008108B6"/>
    <w:rsid w:val="00810B6F"/>
    <w:rsid w:val="00812E01"/>
    <w:rsid w:val="008143BC"/>
    <w:rsid w:val="0081715B"/>
    <w:rsid w:val="00817525"/>
    <w:rsid w:val="00817DD0"/>
    <w:rsid w:val="00820E73"/>
    <w:rsid w:val="00821282"/>
    <w:rsid w:val="00821F3E"/>
    <w:rsid w:val="008244B1"/>
    <w:rsid w:val="00824B26"/>
    <w:rsid w:val="008257D9"/>
    <w:rsid w:val="00825904"/>
    <w:rsid w:val="00825B5E"/>
    <w:rsid w:val="00827A2D"/>
    <w:rsid w:val="0083041C"/>
    <w:rsid w:val="00835579"/>
    <w:rsid w:val="008357B7"/>
    <w:rsid w:val="00835916"/>
    <w:rsid w:val="00835F3B"/>
    <w:rsid w:val="00836AA9"/>
    <w:rsid w:val="00837DE4"/>
    <w:rsid w:val="00837E9D"/>
    <w:rsid w:val="00841038"/>
    <w:rsid w:val="00841E29"/>
    <w:rsid w:val="0084316C"/>
    <w:rsid w:val="00850375"/>
    <w:rsid w:val="00850948"/>
    <w:rsid w:val="00851A4F"/>
    <w:rsid w:val="00852F3C"/>
    <w:rsid w:val="008536C9"/>
    <w:rsid w:val="00853E31"/>
    <w:rsid w:val="00856316"/>
    <w:rsid w:val="008604EB"/>
    <w:rsid w:val="00862FC7"/>
    <w:rsid w:val="0086376F"/>
    <w:rsid w:val="00863C4A"/>
    <w:rsid w:val="00863E45"/>
    <w:rsid w:val="00864D43"/>
    <w:rsid w:val="00865E24"/>
    <w:rsid w:val="00866021"/>
    <w:rsid w:val="008662B4"/>
    <w:rsid w:val="00866371"/>
    <w:rsid w:val="0086762E"/>
    <w:rsid w:val="00867BFD"/>
    <w:rsid w:val="008714F6"/>
    <w:rsid w:val="00874361"/>
    <w:rsid w:val="0087450E"/>
    <w:rsid w:val="00875257"/>
    <w:rsid w:val="008813F1"/>
    <w:rsid w:val="00882190"/>
    <w:rsid w:val="008834FB"/>
    <w:rsid w:val="00883D51"/>
    <w:rsid w:val="008850C4"/>
    <w:rsid w:val="00885C77"/>
    <w:rsid w:val="008860EF"/>
    <w:rsid w:val="00886A0D"/>
    <w:rsid w:val="00886A87"/>
    <w:rsid w:val="0089106B"/>
    <w:rsid w:val="00892255"/>
    <w:rsid w:val="0089537B"/>
    <w:rsid w:val="0089689A"/>
    <w:rsid w:val="008A19CD"/>
    <w:rsid w:val="008A31AF"/>
    <w:rsid w:val="008A3316"/>
    <w:rsid w:val="008A3B4B"/>
    <w:rsid w:val="008A3F71"/>
    <w:rsid w:val="008A4DB4"/>
    <w:rsid w:val="008A5942"/>
    <w:rsid w:val="008A701D"/>
    <w:rsid w:val="008A7449"/>
    <w:rsid w:val="008B2CD1"/>
    <w:rsid w:val="008B3C5C"/>
    <w:rsid w:val="008B3EDA"/>
    <w:rsid w:val="008B4B2C"/>
    <w:rsid w:val="008B67D7"/>
    <w:rsid w:val="008B70E4"/>
    <w:rsid w:val="008B7A74"/>
    <w:rsid w:val="008B7DB4"/>
    <w:rsid w:val="008C0103"/>
    <w:rsid w:val="008C0F05"/>
    <w:rsid w:val="008C4472"/>
    <w:rsid w:val="008C5536"/>
    <w:rsid w:val="008C59A1"/>
    <w:rsid w:val="008C60AA"/>
    <w:rsid w:val="008C61AD"/>
    <w:rsid w:val="008C7D69"/>
    <w:rsid w:val="008D0BEC"/>
    <w:rsid w:val="008D39BD"/>
    <w:rsid w:val="008D3E5F"/>
    <w:rsid w:val="008D5A0F"/>
    <w:rsid w:val="008D5E3E"/>
    <w:rsid w:val="008D644E"/>
    <w:rsid w:val="008D6DA8"/>
    <w:rsid w:val="008D74D2"/>
    <w:rsid w:val="008E05EF"/>
    <w:rsid w:val="008E0A3E"/>
    <w:rsid w:val="008E0A73"/>
    <w:rsid w:val="008E0AA8"/>
    <w:rsid w:val="008E1FEC"/>
    <w:rsid w:val="008E3BBA"/>
    <w:rsid w:val="008E4A7A"/>
    <w:rsid w:val="008E59CC"/>
    <w:rsid w:val="008E59FC"/>
    <w:rsid w:val="008E5A3A"/>
    <w:rsid w:val="008E60B7"/>
    <w:rsid w:val="008E610F"/>
    <w:rsid w:val="008E6259"/>
    <w:rsid w:val="008E6586"/>
    <w:rsid w:val="008E6662"/>
    <w:rsid w:val="008E674F"/>
    <w:rsid w:val="008E69D3"/>
    <w:rsid w:val="008E69D9"/>
    <w:rsid w:val="008E7EBE"/>
    <w:rsid w:val="008F08C2"/>
    <w:rsid w:val="008F0B42"/>
    <w:rsid w:val="008F222C"/>
    <w:rsid w:val="008F3BB8"/>
    <w:rsid w:val="008F5FB4"/>
    <w:rsid w:val="008F7C05"/>
    <w:rsid w:val="00900029"/>
    <w:rsid w:val="0090015A"/>
    <w:rsid w:val="009018EB"/>
    <w:rsid w:val="0090409D"/>
    <w:rsid w:val="0090451D"/>
    <w:rsid w:val="00905802"/>
    <w:rsid w:val="009071EA"/>
    <w:rsid w:val="00907386"/>
    <w:rsid w:val="00907B65"/>
    <w:rsid w:val="00910B80"/>
    <w:rsid w:val="0091446D"/>
    <w:rsid w:val="00914554"/>
    <w:rsid w:val="00914C54"/>
    <w:rsid w:val="00914D0C"/>
    <w:rsid w:val="009166C5"/>
    <w:rsid w:val="00917EFE"/>
    <w:rsid w:val="00920DE6"/>
    <w:rsid w:val="00920F08"/>
    <w:rsid w:val="00921FD4"/>
    <w:rsid w:val="0092231E"/>
    <w:rsid w:val="0092344E"/>
    <w:rsid w:val="00923D4D"/>
    <w:rsid w:val="00923FCF"/>
    <w:rsid w:val="009251C6"/>
    <w:rsid w:val="00926C79"/>
    <w:rsid w:val="00927BA4"/>
    <w:rsid w:val="00930C6A"/>
    <w:rsid w:val="009316EA"/>
    <w:rsid w:val="00932733"/>
    <w:rsid w:val="00933CDC"/>
    <w:rsid w:val="0094000A"/>
    <w:rsid w:val="00941048"/>
    <w:rsid w:val="009412E6"/>
    <w:rsid w:val="00941657"/>
    <w:rsid w:val="009418A5"/>
    <w:rsid w:val="00941B8E"/>
    <w:rsid w:val="0094236B"/>
    <w:rsid w:val="009439A3"/>
    <w:rsid w:val="0094496D"/>
    <w:rsid w:val="00944A79"/>
    <w:rsid w:val="00945DAB"/>
    <w:rsid w:val="00946855"/>
    <w:rsid w:val="00950035"/>
    <w:rsid w:val="009518D0"/>
    <w:rsid w:val="0095198A"/>
    <w:rsid w:val="00951ACC"/>
    <w:rsid w:val="00951E78"/>
    <w:rsid w:val="00952535"/>
    <w:rsid w:val="009536F6"/>
    <w:rsid w:val="00953E1B"/>
    <w:rsid w:val="00955CA2"/>
    <w:rsid w:val="009570E3"/>
    <w:rsid w:val="00960CA3"/>
    <w:rsid w:val="00962147"/>
    <w:rsid w:val="00965E11"/>
    <w:rsid w:val="00965EA5"/>
    <w:rsid w:val="00966918"/>
    <w:rsid w:val="00966DB0"/>
    <w:rsid w:val="00966EB8"/>
    <w:rsid w:val="00967769"/>
    <w:rsid w:val="00967816"/>
    <w:rsid w:val="009713E3"/>
    <w:rsid w:val="009727C4"/>
    <w:rsid w:val="0097323F"/>
    <w:rsid w:val="00973BA2"/>
    <w:rsid w:val="00974108"/>
    <w:rsid w:val="00974B92"/>
    <w:rsid w:val="00975499"/>
    <w:rsid w:val="00976D1E"/>
    <w:rsid w:val="00976F3E"/>
    <w:rsid w:val="00976F5E"/>
    <w:rsid w:val="00977847"/>
    <w:rsid w:val="00982203"/>
    <w:rsid w:val="00983351"/>
    <w:rsid w:val="009849DC"/>
    <w:rsid w:val="00984C69"/>
    <w:rsid w:val="00984D45"/>
    <w:rsid w:val="0098540B"/>
    <w:rsid w:val="00987A7E"/>
    <w:rsid w:val="0099160E"/>
    <w:rsid w:val="00991FB3"/>
    <w:rsid w:val="00995102"/>
    <w:rsid w:val="00995240"/>
    <w:rsid w:val="009A06A0"/>
    <w:rsid w:val="009A166D"/>
    <w:rsid w:val="009A3B86"/>
    <w:rsid w:val="009A44B2"/>
    <w:rsid w:val="009A4AD6"/>
    <w:rsid w:val="009A522A"/>
    <w:rsid w:val="009A6647"/>
    <w:rsid w:val="009A6CB3"/>
    <w:rsid w:val="009B06FB"/>
    <w:rsid w:val="009B09B1"/>
    <w:rsid w:val="009B0D7C"/>
    <w:rsid w:val="009B13AD"/>
    <w:rsid w:val="009B2AA3"/>
    <w:rsid w:val="009B2E34"/>
    <w:rsid w:val="009B37B4"/>
    <w:rsid w:val="009B4B19"/>
    <w:rsid w:val="009B5158"/>
    <w:rsid w:val="009B6C4A"/>
    <w:rsid w:val="009B79D8"/>
    <w:rsid w:val="009C0198"/>
    <w:rsid w:val="009C1667"/>
    <w:rsid w:val="009C2FD7"/>
    <w:rsid w:val="009C3186"/>
    <w:rsid w:val="009C43CD"/>
    <w:rsid w:val="009C6ED6"/>
    <w:rsid w:val="009D26B0"/>
    <w:rsid w:val="009D5C79"/>
    <w:rsid w:val="009D6A56"/>
    <w:rsid w:val="009D7C2D"/>
    <w:rsid w:val="009E014F"/>
    <w:rsid w:val="009E05E7"/>
    <w:rsid w:val="009E295C"/>
    <w:rsid w:val="009E2F4E"/>
    <w:rsid w:val="009E608A"/>
    <w:rsid w:val="009E727E"/>
    <w:rsid w:val="009E7568"/>
    <w:rsid w:val="009F37CA"/>
    <w:rsid w:val="009F4EF0"/>
    <w:rsid w:val="009F5B64"/>
    <w:rsid w:val="009F5CB4"/>
    <w:rsid w:val="009F664A"/>
    <w:rsid w:val="00A02FD8"/>
    <w:rsid w:val="00A0371F"/>
    <w:rsid w:val="00A04315"/>
    <w:rsid w:val="00A04B4E"/>
    <w:rsid w:val="00A05C43"/>
    <w:rsid w:val="00A06DA6"/>
    <w:rsid w:val="00A070A5"/>
    <w:rsid w:val="00A10FB3"/>
    <w:rsid w:val="00A12340"/>
    <w:rsid w:val="00A126F9"/>
    <w:rsid w:val="00A1388F"/>
    <w:rsid w:val="00A13951"/>
    <w:rsid w:val="00A13B7A"/>
    <w:rsid w:val="00A13D9B"/>
    <w:rsid w:val="00A151E3"/>
    <w:rsid w:val="00A1568F"/>
    <w:rsid w:val="00A1644F"/>
    <w:rsid w:val="00A17E04"/>
    <w:rsid w:val="00A213EA"/>
    <w:rsid w:val="00A23808"/>
    <w:rsid w:val="00A27F72"/>
    <w:rsid w:val="00A309FE"/>
    <w:rsid w:val="00A31D73"/>
    <w:rsid w:val="00A32B35"/>
    <w:rsid w:val="00A32ECC"/>
    <w:rsid w:val="00A345F1"/>
    <w:rsid w:val="00A36AB9"/>
    <w:rsid w:val="00A405DC"/>
    <w:rsid w:val="00A44793"/>
    <w:rsid w:val="00A44B47"/>
    <w:rsid w:val="00A4678A"/>
    <w:rsid w:val="00A468A1"/>
    <w:rsid w:val="00A47E93"/>
    <w:rsid w:val="00A5058F"/>
    <w:rsid w:val="00A512A1"/>
    <w:rsid w:val="00A52069"/>
    <w:rsid w:val="00A52B5D"/>
    <w:rsid w:val="00A52FFF"/>
    <w:rsid w:val="00A536CF"/>
    <w:rsid w:val="00A53A6E"/>
    <w:rsid w:val="00A56558"/>
    <w:rsid w:val="00A5655E"/>
    <w:rsid w:val="00A56E03"/>
    <w:rsid w:val="00A57C17"/>
    <w:rsid w:val="00A61BB2"/>
    <w:rsid w:val="00A61CE0"/>
    <w:rsid w:val="00A626F8"/>
    <w:rsid w:val="00A62CDC"/>
    <w:rsid w:val="00A649D6"/>
    <w:rsid w:val="00A6534C"/>
    <w:rsid w:val="00A667F6"/>
    <w:rsid w:val="00A7037D"/>
    <w:rsid w:val="00A71ADF"/>
    <w:rsid w:val="00A73011"/>
    <w:rsid w:val="00A73948"/>
    <w:rsid w:val="00A73E8A"/>
    <w:rsid w:val="00A74FFC"/>
    <w:rsid w:val="00A76D6C"/>
    <w:rsid w:val="00A77CB6"/>
    <w:rsid w:val="00A80FD8"/>
    <w:rsid w:val="00A81A53"/>
    <w:rsid w:val="00A82CBA"/>
    <w:rsid w:val="00A82CEF"/>
    <w:rsid w:val="00A8311B"/>
    <w:rsid w:val="00A8417B"/>
    <w:rsid w:val="00A841AD"/>
    <w:rsid w:val="00A846A1"/>
    <w:rsid w:val="00A84EA9"/>
    <w:rsid w:val="00A8500A"/>
    <w:rsid w:val="00A86461"/>
    <w:rsid w:val="00A866E9"/>
    <w:rsid w:val="00A87DD7"/>
    <w:rsid w:val="00A905E3"/>
    <w:rsid w:val="00A92793"/>
    <w:rsid w:val="00A92DB4"/>
    <w:rsid w:val="00A9550F"/>
    <w:rsid w:val="00A963AF"/>
    <w:rsid w:val="00A9763B"/>
    <w:rsid w:val="00A97E17"/>
    <w:rsid w:val="00AA0832"/>
    <w:rsid w:val="00AA0CC0"/>
    <w:rsid w:val="00AA27C4"/>
    <w:rsid w:val="00AA573E"/>
    <w:rsid w:val="00AA5F44"/>
    <w:rsid w:val="00AA7C01"/>
    <w:rsid w:val="00AB07A1"/>
    <w:rsid w:val="00AB3B4F"/>
    <w:rsid w:val="00AB4151"/>
    <w:rsid w:val="00AB4CC1"/>
    <w:rsid w:val="00AB7ADC"/>
    <w:rsid w:val="00AC0B05"/>
    <w:rsid w:val="00AC0E3F"/>
    <w:rsid w:val="00AC22DA"/>
    <w:rsid w:val="00AC4664"/>
    <w:rsid w:val="00AC5173"/>
    <w:rsid w:val="00AC63E0"/>
    <w:rsid w:val="00AC6698"/>
    <w:rsid w:val="00AD1FD4"/>
    <w:rsid w:val="00AD2FD3"/>
    <w:rsid w:val="00AD4BFA"/>
    <w:rsid w:val="00AD7A8D"/>
    <w:rsid w:val="00AD7C74"/>
    <w:rsid w:val="00AE1ADA"/>
    <w:rsid w:val="00AE538C"/>
    <w:rsid w:val="00AE5D0A"/>
    <w:rsid w:val="00AE6BC3"/>
    <w:rsid w:val="00AE719D"/>
    <w:rsid w:val="00AF03FD"/>
    <w:rsid w:val="00AF1297"/>
    <w:rsid w:val="00AF2DF7"/>
    <w:rsid w:val="00AF313F"/>
    <w:rsid w:val="00AF6A71"/>
    <w:rsid w:val="00B0091E"/>
    <w:rsid w:val="00B00D29"/>
    <w:rsid w:val="00B017E6"/>
    <w:rsid w:val="00B01B19"/>
    <w:rsid w:val="00B02DAE"/>
    <w:rsid w:val="00B107AA"/>
    <w:rsid w:val="00B11919"/>
    <w:rsid w:val="00B13A7B"/>
    <w:rsid w:val="00B170D2"/>
    <w:rsid w:val="00B17958"/>
    <w:rsid w:val="00B20170"/>
    <w:rsid w:val="00B21D8C"/>
    <w:rsid w:val="00B244F5"/>
    <w:rsid w:val="00B25037"/>
    <w:rsid w:val="00B25294"/>
    <w:rsid w:val="00B26126"/>
    <w:rsid w:val="00B2636E"/>
    <w:rsid w:val="00B307DA"/>
    <w:rsid w:val="00B31D8B"/>
    <w:rsid w:val="00B3293D"/>
    <w:rsid w:val="00B32A45"/>
    <w:rsid w:val="00B360C0"/>
    <w:rsid w:val="00B368A2"/>
    <w:rsid w:val="00B40AA2"/>
    <w:rsid w:val="00B421C6"/>
    <w:rsid w:val="00B450FE"/>
    <w:rsid w:val="00B45B0E"/>
    <w:rsid w:val="00B4653F"/>
    <w:rsid w:val="00B5165A"/>
    <w:rsid w:val="00B51E1F"/>
    <w:rsid w:val="00B5241C"/>
    <w:rsid w:val="00B52A87"/>
    <w:rsid w:val="00B53120"/>
    <w:rsid w:val="00B53D74"/>
    <w:rsid w:val="00B55BEC"/>
    <w:rsid w:val="00B57268"/>
    <w:rsid w:val="00B579EF"/>
    <w:rsid w:val="00B57F50"/>
    <w:rsid w:val="00B6027A"/>
    <w:rsid w:val="00B604D9"/>
    <w:rsid w:val="00B6341A"/>
    <w:rsid w:val="00B65AA2"/>
    <w:rsid w:val="00B667E3"/>
    <w:rsid w:val="00B67C82"/>
    <w:rsid w:val="00B7005C"/>
    <w:rsid w:val="00B718EA"/>
    <w:rsid w:val="00B7298F"/>
    <w:rsid w:val="00B730BF"/>
    <w:rsid w:val="00B738CA"/>
    <w:rsid w:val="00B7426F"/>
    <w:rsid w:val="00B746A8"/>
    <w:rsid w:val="00B74EF0"/>
    <w:rsid w:val="00B76652"/>
    <w:rsid w:val="00B76F04"/>
    <w:rsid w:val="00B8016A"/>
    <w:rsid w:val="00B81DCB"/>
    <w:rsid w:val="00B823E9"/>
    <w:rsid w:val="00B8292A"/>
    <w:rsid w:val="00B829AB"/>
    <w:rsid w:val="00B84B4A"/>
    <w:rsid w:val="00B87FCC"/>
    <w:rsid w:val="00B90D44"/>
    <w:rsid w:val="00B911EC"/>
    <w:rsid w:val="00B915B1"/>
    <w:rsid w:val="00B91E8A"/>
    <w:rsid w:val="00B92474"/>
    <w:rsid w:val="00B946FA"/>
    <w:rsid w:val="00B94785"/>
    <w:rsid w:val="00B94EA5"/>
    <w:rsid w:val="00B96587"/>
    <w:rsid w:val="00B96B03"/>
    <w:rsid w:val="00B9703D"/>
    <w:rsid w:val="00B97AFC"/>
    <w:rsid w:val="00BA294C"/>
    <w:rsid w:val="00BA6426"/>
    <w:rsid w:val="00BA734B"/>
    <w:rsid w:val="00BA7635"/>
    <w:rsid w:val="00BA7E55"/>
    <w:rsid w:val="00BB1060"/>
    <w:rsid w:val="00BB19FF"/>
    <w:rsid w:val="00BB2560"/>
    <w:rsid w:val="00BB28BF"/>
    <w:rsid w:val="00BB6C5D"/>
    <w:rsid w:val="00BB6E26"/>
    <w:rsid w:val="00BB73FA"/>
    <w:rsid w:val="00BB7D85"/>
    <w:rsid w:val="00BC0A33"/>
    <w:rsid w:val="00BC139C"/>
    <w:rsid w:val="00BC1E3F"/>
    <w:rsid w:val="00BC225B"/>
    <w:rsid w:val="00BC48DB"/>
    <w:rsid w:val="00BC5B04"/>
    <w:rsid w:val="00BC5C1B"/>
    <w:rsid w:val="00BD18FD"/>
    <w:rsid w:val="00BD199C"/>
    <w:rsid w:val="00BD3693"/>
    <w:rsid w:val="00BD3D0C"/>
    <w:rsid w:val="00BD45A7"/>
    <w:rsid w:val="00BD64CD"/>
    <w:rsid w:val="00BD7B50"/>
    <w:rsid w:val="00BD7EB0"/>
    <w:rsid w:val="00BE0C3C"/>
    <w:rsid w:val="00BE139F"/>
    <w:rsid w:val="00BE13C9"/>
    <w:rsid w:val="00BE177C"/>
    <w:rsid w:val="00BE2CB5"/>
    <w:rsid w:val="00BE3F45"/>
    <w:rsid w:val="00BE3FE0"/>
    <w:rsid w:val="00BE4795"/>
    <w:rsid w:val="00BE4AE9"/>
    <w:rsid w:val="00BE6F9C"/>
    <w:rsid w:val="00BE74DD"/>
    <w:rsid w:val="00BF2080"/>
    <w:rsid w:val="00BF21B1"/>
    <w:rsid w:val="00BF2E3E"/>
    <w:rsid w:val="00BF361D"/>
    <w:rsid w:val="00BF482A"/>
    <w:rsid w:val="00BF7CF1"/>
    <w:rsid w:val="00C05FC5"/>
    <w:rsid w:val="00C105BA"/>
    <w:rsid w:val="00C11C35"/>
    <w:rsid w:val="00C12D16"/>
    <w:rsid w:val="00C1454A"/>
    <w:rsid w:val="00C1614A"/>
    <w:rsid w:val="00C20417"/>
    <w:rsid w:val="00C22258"/>
    <w:rsid w:val="00C22361"/>
    <w:rsid w:val="00C229FE"/>
    <w:rsid w:val="00C25408"/>
    <w:rsid w:val="00C25A95"/>
    <w:rsid w:val="00C33425"/>
    <w:rsid w:val="00C34E0B"/>
    <w:rsid w:val="00C3599B"/>
    <w:rsid w:val="00C375EA"/>
    <w:rsid w:val="00C40329"/>
    <w:rsid w:val="00C40C74"/>
    <w:rsid w:val="00C41464"/>
    <w:rsid w:val="00C419D8"/>
    <w:rsid w:val="00C43A41"/>
    <w:rsid w:val="00C44609"/>
    <w:rsid w:val="00C44C71"/>
    <w:rsid w:val="00C472E0"/>
    <w:rsid w:val="00C47AE6"/>
    <w:rsid w:val="00C50C29"/>
    <w:rsid w:val="00C51119"/>
    <w:rsid w:val="00C52873"/>
    <w:rsid w:val="00C53902"/>
    <w:rsid w:val="00C5441F"/>
    <w:rsid w:val="00C545C6"/>
    <w:rsid w:val="00C554AC"/>
    <w:rsid w:val="00C560CC"/>
    <w:rsid w:val="00C56244"/>
    <w:rsid w:val="00C57189"/>
    <w:rsid w:val="00C575DB"/>
    <w:rsid w:val="00C60DFE"/>
    <w:rsid w:val="00C615F9"/>
    <w:rsid w:val="00C62DA9"/>
    <w:rsid w:val="00C679B6"/>
    <w:rsid w:val="00C71557"/>
    <w:rsid w:val="00C715E7"/>
    <w:rsid w:val="00C71B79"/>
    <w:rsid w:val="00C726E2"/>
    <w:rsid w:val="00C729F7"/>
    <w:rsid w:val="00C72F7E"/>
    <w:rsid w:val="00C74465"/>
    <w:rsid w:val="00C7745D"/>
    <w:rsid w:val="00C7778F"/>
    <w:rsid w:val="00C77FDA"/>
    <w:rsid w:val="00C80F6A"/>
    <w:rsid w:val="00C818C9"/>
    <w:rsid w:val="00C81B47"/>
    <w:rsid w:val="00C82417"/>
    <w:rsid w:val="00C83422"/>
    <w:rsid w:val="00C843B8"/>
    <w:rsid w:val="00C8550F"/>
    <w:rsid w:val="00C857DE"/>
    <w:rsid w:val="00C85D8A"/>
    <w:rsid w:val="00C86B65"/>
    <w:rsid w:val="00C8771B"/>
    <w:rsid w:val="00C905D2"/>
    <w:rsid w:val="00C91453"/>
    <w:rsid w:val="00C91D45"/>
    <w:rsid w:val="00C945F5"/>
    <w:rsid w:val="00C9481C"/>
    <w:rsid w:val="00C94D50"/>
    <w:rsid w:val="00C951DC"/>
    <w:rsid w:val="00C95DA5"/>
    <w:rsid w:val="00CA1AE2"/>
    <w:rsid w:val="00CA2901"/>
    <w:rsid w:val="00CA2F51"/>
    <w:rsid w:val="00CA42CD"/>
    <w:rsid w:val="00CA45B8"/>
    <w:rsid w:val="00CA4FFE"/>
    <w:rsid w:val="00CA64E9"/>
    <w:rsid w:val="00CA6AF8"/>
    <w:rsid w:val="00CA6C5B"/>
    <w:rsid w:val="00CA6F61"/>
    <w:rsid w:val="00CA7827"/>
    <w:rsid w:val="00CB13F6"/>
    <w:rsid w:val="00CB3291"/>
    <w:rsid w:val="00CB3A5C"/>
    <w:rsid w:val="00CB40D9"/>
    <w:rsid w:val="00CB5186"/>
    <w:rsid w:val="00CB5BBF"/>
    <w:rsid w:val="00CB6ACB"/>
    <w:rsid w:val="00CB6D4B"/>
    <w:rsid w:val="00CC02FF"/>
    <w:rsid w:val="00CC0BAC"/>
    <w:rsid w:val="00CC146A"/>
    <w:rsid w:val="00CC2325"/>
    <w:rsid w:val="00CC2BBA"/>
    <w:rsid w:val="00CC387A"/>
    <w:rsid w:val="00CC4D10"/>
    <w:rsid w:val="00CC52B7"/>
    <w:rsid w:val="00CC617D"/>
    <w:rsid w:val="00CC77DA"/>
    <w:rsid w:val="00CD016E"/>
    <w:rsid w:val="00CD07E8"/>
    <w:rsid w:val="00CD1DFE"/>
    <w:rsid w:val="00CD2ABD"/>
    <w:rsid w:val="00CD3E20"/>
    <w:rsid w:val="00CD7B1D"/>
    <w:rsid w:val="00CE1223"/>
    <w:rsid w:val="00CE191D"/>
    <w:rsid w:val="00CE1A8D"/>
    <w:rsid w:val="00CE1B0B"/>
    <w:rsid w:val="00CE2465"/>
    <w:rsid w:val="00CE24D6"/>
    <w:rsid w:val="00CE2893"/>
    <w:rsid w:val="00CE355B"/>
    <w:rsid w:val="00CE35B3"/>
    <w:rsid w:val="00CE3639"/>
    <w:rsid w:val="00CE4584"/>
    <w:rsid w:val="00CF09A1"/>
    <w:rsid w:val="00CF0C40"/>
    <w:rsid w:val="00CF397E"/>
    <w:rsid w:val="00CF43FA"/>
    <w:rsid w:val="00CF4DDF"/>
    <w:rsid w:val="00CF5837"/>
    <w:rsid w:val="00CF6448"/>
    <w:rsid w:val="00D00D91"/>
    <w:rsid w:val="00D02107"/>
    <w:rsid w:val="00D02406"/>
    <w:rsid w:val="00D064B3"/>
    <w:rsid w:val="00D06D03"/>
    <w:rsid w:val="00D06EB3"/>
    <w:rsid w:val="00D10CDE"/>
    <w:rsid w:val="00D11149"/>
    <w:rsid w:val="00D12FF9"/>
    <w:rsid w:val="00D14E56"/>
    <w:rsid w:val="00D1524E"/>
    <w:rsid w:val="00D168F2"/>
    <w:rsid w:val="00D17267"/>
    <w:rsid w:val="00D17AB6"/>
    <w:rsid w:val="00D2105D"/>
    <w:rsid w:val="00D21B72"/>
    <w:rsid w:val="00D23A50"/>
    <w:rsid w:val="00D24F92"/>
    <w:rsid w:val="00D25FAA"/>
    <w:rsid w:val="00D26075"/>
    <w:rsid w:val="00D268D4"/>
    <w:rsid w:val="00D26BCC"/>
    <w:rsid w:val="00D30815"/>
    <w:rsid w:val="00D31A6B"/>
    <w:rsid w:val="00D329DA"/>
    <w:rsid w:val="00D3406C"/>
    <w:rsid w:val="00D34872"/>
    <w:rsid w:val="00D35BEB"/>
    <w:rsid w:val="00D36F84"/>
    <w:rsid w:val="00D41DFC"/>
    <w:rsid w:val="00D42252"/>
    <w:rsid w:val="00D429CC"/>
    <w:rsid w:val="00D43251"/>
    <w:rsid w:val="00D442CE"/>
    <w:rsid w:val="00D50C70"/>
    <w:rsid w:val="00D51A77"/>
    <w:rsid w:val="00D525E2"/>
    <w:rsid w:val="00D54928"/>
    <w:rsid w:val="00D561D3"/>
    <w:rsid w:val="00D5669D"/>
    <w:rsid w:val="00D57939"/>
    <w:rsid w:val="00D6009D"/>
    <w:rsid w:val="00D60BEF"/>
    <w:rsid w:val="00D60E2B"/>
    <w:rsid w:val="00D6166C"/>
    <w:rsid w:val="00D617A5"/>
    <w:rsid w:val="00D61D4D"/>
    <w:rsid w:val="00D62BA4"/>
    <w:rsid w:val="00D62ED9"/>
    <w:rsid w:val="00D65432"/>
    <w:rsid w:val="00D65547"/>
    <w:rsid w:val="00D656F2"/>
    <w:rsid w:val="00D71BD2"/>
    <w:rsid w:val="00D72DA8"/>
    <w:rsid w:val="00D7309D"/>
    <w:rsid w:val="00D734B0"/>
    <w:rsid w:val="00D752C7"/>
    <w:rsid w:val="00D756A2"/>
    <w:rsid w:val="00D765D4"/>
    <w:rsid w:val="00D77EA9"/>
    <w:rsid w:val="00D80500"/>
    <w:rsid w:val="00D8059C"/>
    <w:rsid w:val="00D81202"/>
    <w:rsid w:val="00D84250"/>
    <w:rsid w:val="00D84C2D"/>
    <w:rsid w:val="00D86139"/>
    <w:rsid w:val="00D86871"/>
    <w:rsid w:val="00D87E83"/>
    <w:rsid w:val="00D90241"/>
    <w:rsid w:val="00D9041F"/>
    <w:rsid w:val="00D91189"/>
    <w:rsid w:val="00D924C1"/>
    <w:rsid w:val="00D93174"/>
    <w:rsid w:val="00D931BD"/>
    <w:rsid w:val="00D94216"/>
    <w:rsid w:val="00D9501F"/>
    <w:rsid w:val="00D95451"/>
    <w:rsid w:val="00D95AAF"/>
    <w:rsid w:val="00D96594"/>
    <w:rsid w:val="00DA11A7"/>
    <w:rsid w:val="00DA1E2F"/>
    <w:rsid w:val="00DA2165"/>
    <w:rsid w:val="00DA250A"/>
    <w:rsid w:val="00DA251A"/>
    <w:rsid w:val="00DA2AC5"/>
    <w:rsid w:val="00DA3853"/>
    <w:rsid w:val="00DA387E"/>
    <w:rsid w:val="00DA57D2"/>
    <w:rsid w:val="00DB1A33"/>
    <w:rsid w:val="00DB1EA6"/>
    <w:rsid w:val="00DB2335"/>
    <w:rsid w:val="00DB3377"/>
    <w:rsid w:val="00DB3609"/>
    <w:rsid w:val="00DB3E7E"/>
    <w:rsid w:val="00DB4200"/>
    <w:rsid w:val="00DB448E"/>
    <w:rsid w:val="00DB4766"/>
    <w:rsid w:val="00DB4A8A"/>
    <w:rsid w:val="00DB60D9"/>
    <w:rsid w:val="00DB6ECF"/>
    <w:rsid w:val="00DC0787"/>
    <w:rsid w:val="00DC0965"/>
    <w:rsid w:val="00DC1C55"/>
    <w:rsid w:val="00DC2FF5"/>
    <w:rsid w:val="00DC44E3"/>
    <w:rsid w:val="00DC54CF"/>
    <w:rsid w:val="00DC5B8D"/>
    <w:rsid w:val="00DD0425"/>
    <w:rsid w:val="00DD4747"/>
    <w:rsid w:val="00DD4949"/>
    <w:rsid w:val="00DD5FA5"/>
    <w:rsid w:val="00DD6D7F"/>
    <w:rsid w:val="00DE029F"/>
    <w:rsid w:val="00DE0C6A"/>
    <w:rsid w:val="00DE1993"/>
    <w:rsid w:val="00DE4330"/>
    <w:rsid w:val="00DE59DB"/>
    <w:rsid w:val="00DE64F5"/>
    <w:rsid w:val="00DE6A8E"/>
    <w:rsid w:val="00DE7FEE"/>
    <w:rsid w:val="00DF2525"/>
    <w:rsid w:val="00DF5536"/>
    <w:rsid w:val="00E008AB"/>
    <w:rsid w:val="00E00F02"/>
    <w:rsid w:val="00E01733"/>
    <w:rsid w:val="00E01DEF"/>
    <w:rsid w:val="00E02236"/>
    <w:rsid w:val="00E02376"/>
    <w:rsid w:val="00E02511"/>
    <w:rsid w:val="00E0252D"/>
    <w:rsid w:val="00E02613"/>
    <w:rsid w:val="00E03B48"/>
    <w:rsid w:val="00E04026"/>
    <w:rsid w:val="00E05372"/>
    <w:rsid w:val="00E10DF4"/>
    <w:rsid w:val="00E10FE3"/>
    <w:rsid w:val="00E119E4"/>
    <w:rsid w:val="00E11C48"/>
    <w:rsid w:val="00E1370F"/>
    <w:rsid w:val="00E13BC8"/>
    <w:rsid w:val="00E14767"/>
    <w:rsid w:val="00E16001"/>
    <w:rsid w:val="00E167F8"/>
    <w:rsid w:val="00E16ED7"/>
    <w:rsid w:val="00E1793F"/>
    <w:rsid w:val="00E17E23"/>
    <w:rsid w:val="00E17FC4"/>
    <w:rsid w:val="00E21FF1"/>
    <w:rsid w:val="00E222DC"/>
    <w:rsid w:val="00E22FF8"/>
    <w:rsid w:val="00E23414"/>
    <w:rsid w:val="00E24753"/>
    <w:rsid w:val="00E2558B"/>
    <w:rsid w:val="00E26C06"/>
    <w:rsid w:val="00E26FA1"/>
    <w:rsid w:val="00E31A03"/>
    <w:rsid w:val="00E327D9"/>
    <w:rsid w:val="00E35B6F"/>
    <w:rsid w:val="00E361A6"/>
    <w:rsid w:val="00E405BB"/>
    <w:rsid w:val="00E40F59"/>
    <w:rsid w:val="00E425F0"/>
    <w:rsid w:val="00E42BEE"/>
    <w:rsid w:val="00E44D8E"/>
    <w:rsid w:val="00E4753D"/>
    <w:rsid w:val="00E47B39"/>
    <w:rsid w:val="00E50C3C"/>
    <w:rsid w:val="00E51249"/>
    <w:rsid w:val="00E52B77"/>
    <w:rsid w:val="00E53057"/>
    <w:rsid w:val="00E53999"/>
    <w:rsid w:val="00E53A7C"/>
    <w:rsid w:val="00E53D51"/>
    <w:rsid w:val="00E54519"/>
    <w:rsid w:val="00E55BBA"/>
    <w:rsid w:val="00E56385"/>
    <w:rsid w:val="00E61C2A"/>
    <w:rsid w:val="00E63EB6"/>
    <w:rsid w:val="00E646DB"/>
    <w:rsid w:val="00E64C02"/>
    <w:rsid w:val="00E66E91"/>
    <w:rsid w:val="00E67D8B"/>
    <w:rsid w:val="00E707FF"/>
    <w:rsid w:val="00E70C01"/>
    <w:rsid w:val="00E7296B"/>
    <w:rsid w:val="00E73C70"/>
    <w:rsid w:val="00E74181"/>
    <w:rsid w:val="00E75EEA"/>
    <w:rsid w:val="00E763CB"/>
    <w:rsid w:val="00E76A1B"/>
    <w:rsid w:val="00E80A14"/>
    <w:rsid w:val="00E814E3"/>
    <w:rsid w:val="00E829EF"/>
    <w:rsid w:val="00E82C67"/>
    <w:rsid w:val="00E82E69"/>
    <w:rsid w:val="00E8312E"/>
    <w:rsid w:val="00E85197"/>
    <w:rsid w:val="00E8598E"/>
    <w:rsid w:val="00E85A58"/>
    <w:rsid w:val="00E86605"/>
    <w:rsid w:val="00E87DA0"/>
    <w:rsid w:val="00E9004E"/>
    <w:rsid w:val="00E901FE"/>
    <w:rsid w:val="00E92511"/>
    <w:rsid w:val="00E93CF3"/>
    <w:rsid w:val="00E94711"/>
    <w:rsid w:val="00E960AB"/>
    <w:rsid w:val="00E96598"/>
    <w:rsid w:val="00E96F85"/>
    <w:rsid w:val="00E97875"/>
    <w:rsid w:val="00EA01A6"/>
    <w:rsid w:val="00EA01EE"/>
    <w:rsid w:val="00EA340C"/>
    <w:rsid w:val="00EA545D"/>
    <w:rsid w:val="00EA6A9A"/>
    <w:rsid w:val="00EA70EC"/>
    <w:rsid w:val="00EA717B"/>
    <w:rsid w:val="00EB22AA"/>
    <w:rsid w:val="00EB2DCD"/>
    <w:rsid w:val="00EB4939"/>
    <w:rsid w:val="00EB633F"/>
    <w:rsid w:val="00EB7820"/>
    <w:rsid w:val="00EB7AA2"/>
    <w:rsid w:val="00EC16F5"/>
    <w:rsid w:val="00EC47C5"/>
    <w:rsid w:val="00EC493B"/>
    <w:rsid w:val="00EC4CC6"/>
    <w:rsid w:val="00EC6494"/>
    <w:rsid w:val="00EC7826"/>
    <w:rsid w:val="00ED15A1"/>
    <w:rsid w:val="00ED18D4"/>
    <w:rsid w:val="00ED244B"/>
    <w:rsid w:val="00ED4BC0"/>
    <w:rsid w:val="00ED7CA6"/>
    <w:rsid w:val="00EE09D3"/>
    <w:rsid w:val="00EE7BE0"/>
    <w:rsid w:val="00EE7F78"/>
    <w:rsid w:val="00EF0219"/>
    <w:rsid w:val="00EF0744"/>
    <w:rsid w:val="00EF33B8"/>
    <w:rsid w:val="00EF696D"/>
    <w:rsid w:val="00EF74C1"/>
    <w:rsid w:val="00F010D0"/>
    <w:rsid w:val="00F016CE"/>
    <w:rsid w:val="00F018DF"/>
    <w:rsid w:val="00F02090"/>
    <w:rsid w:val="00F0426E"/>
    <w:rsid w:val="00F0487B"/>
    <w:rsid w:val="00F048B5"/>
    <w:rsid w:val="00F0668C"/>
    <w:rsid w:val="00F0681A"/>
    <w:rsid w:val="00F06FE2"/>
    <w:rsid w:val="00F15791"/>
    <w:rsid w:val="00F15B4C"/>
    <w:rsid w:val="00F174BB"/>
    <w:rsid w:val="00F17B42"/>
    <w:rsid w:val="00F20C63"/>
    <w:rsid w:val="00F20E06"/>
    <w:rsid w:val="00F213C9"/>
    <w:rsid w:val="00F23C0F"/>
    <w:rsid w:val="00F2429C"/>
    <w:rsid w:val="00F246D2"/>
    <w:rsid w:val="00F254AC"/>
    <w:rsid w:val="00F25737"/>
    <w:rsid w:val="00F26EF6"/>
    <w:rsid w:val="00F27AAE"/>
    <w:rsid w:val="00F31059"/>
    <w:rsid w:val="00F324F7"/>
    <w:rsid w:val="00F32664"/>
    <w:rsid w:val="00F32A76"/>
    <w:rsid w:val="00F32E05"/>
    <w:rsid w:val="00F32EDB"/>
    <w:rsid w:val="00F33013"/>
    <w:rsid w:val="00F35164"/>
    <w:rsid w:val="00F35933"/>
    <w:rsid w:val="00F3669E"/>
    <w:rsid w:val="00F4316D"/>
    <w:rsid w:val="00F44311"/>
    <w:rsid w:val="00F44AC8"/>
    <w:rsid w:val="00F4606C"/>
    <w:rsid w:val="00F46672"/>
    <w:rsid w:val="00F500F8"/>
    <w:rsid w:val="00F525EB"/>
    <w:rsid w:val="00F52B7D"/>
    <w:rsid w:val="00F544A2"/>
    <w:rsid w:val="00F54C00"/>
    <w:rsid w:val="00F54E67"/>
    <w:rsid w:val="00F55147"/>
    <w:rsid w:val="00F559B2"/>
    <w:rsid w:val="00F56EE7"/>
    <w:rsid w:val="00F615A8"/>
    <w:rsid w:val="00F64395"/>
    <w:rsid w:val="00F652DC"/>
    <w:rsid w:val="00F67291"/>
    <w:rsid w:val="00F70C51"/>
    <w:rsid w:val="00F745DA"/>
    <w:rsid w:val="00F77520"/>
    <w:rsid w:val="00F81996"/>
    <w:rsid w:val="00F81C51"/>
    <w:rsid w:val="00F81F9C"/>
    <w:rsid w:val="00F833ED"/>
    <w:rsid w:val="00F84F71"/>
    <w:rsid w:val="00F8740E"/>
    <w:rsid w:val="00F90C86"/>
    <w:rsid w:val="00F90DE7"/>
    <w:rsid w:val="00F91E44"/>
    <w:rsid w:val="00F92391"/>
    <w:rsid w:val="00F92E68"/>
    <w:rsid w:val="00F93138"/>
    <w:rsid w:val="00F96202"/>
    <w:rsid w:val="00F96690"/>
    <w:rsid w:val="00F96A31"/>
    <w:rsid w:val="00FA071E"/>
    <w:rsid w:val="00FA1467"/>
    <w:rsid w:val="00FA61BE"/>
    <w:rsid w:val="00FA72AE"/>
    <w:rsid w:val="00FB0D0B"/>
    <w:rsid w:val="00FB0E80"/>
    <w:rsid w:val="00FB1958"/>
    <w:rsid w:val="00FB2C8F"/>
    <w:rsid w:val="00FB2F3E"/>
    <w:rsid w:val="00FB3D50"/>
    <w:rsid w:val="00FB663D"/>
    <w:rsid w:val="00FC0264"/>
    <w:rsid w:val="00FC17CE"/>
    <w:rsid w:val="00FC33C5"/>
    <w:rsid w:val="00FC4D22"/>
    <w:rsid w:val="00FC5604"/>
    <w:rsid w:val="00FC6D16"/>
    <w:rsid w:val="00FC723E"/>
    <w:rsid w:val="00FD0374"/>
    <w:rsid w:val="00FD1A2A"/>
    <w:rsid w:val="00FD1DAD"/>
    <w:rsid w:val="00FD3F70"/>
    <w:rsid w:val="00FD6320"/>
    <w:rsid w:val="00FE126E"/>
    <w:rsid w:val="00FE2279"/>
    <w:rsid w:val="00FE2DD9"/>
    <w:rsid w:val="00FE450A"/>
    <w:rsid w:val="00FE591D"/>
    <w:rsid w:val="00FE5FF0"/>
    <w:rsid w:val="00FE7ADF"/>
    <w:rsid w:val="00FF0FEE"/>
    <w:rsid w:val="00FF2E49"/>
    <w:rsid w:val="00FF49C2"/>
    <w:rsid w:val="00FF5A29"/>
    <w:rsid w:val="00FF6655"/>
    <w:rsid w:val="00FF6BE0"/>
    <w:rsid w:val="00FF6E8D"/>
    <w:rsid w:val="00FF7C58"/>
    <w:rsid w:val="3A46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B34E6"/>
  <w15:docId w15:val="{7E910630-5723-4880-8ED5-2DAD9922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ZSSA Table contents"/>
    <w:rsid w:val="004B2BB2"/>
    <w:rPr>
      <w:rFonts w:ascii="Times New Roman" w:eastAsia="Calibri" w:hAnsi="Times New Roman"/>
      <w:szCs w:val="22"/>
    </w:rPr>
  </w:style>
  <w:style w:type="paragraph" w:styleId="Heading1">
    <w:name w:val="heading 1"/>
    <w:aliases w:val="Article name,APA Level 1"/>
    <w:basedOn w:val="Normal"/>
    <w:next w:val="Normal"/>
    <w:link w:val="Heading1Char"/>
    <w:uiPriority w:val="9"/>
    <w:rsid w:val="00130AC8"/>
    <w:pPr>
      <w:keepNext/>
      <w:keepLines/>
      <w:spacing w:before="480"/>
      <w:outlineLvl w:val="0"/>
    </w:pPr>
    <w:rPr>
      <w:rFonts w:ascii="Cambria" w:eastAsia="Times New Roman" w:hAnsi="Cambria"/>
      <w:b/>
      <w:bCs/>
      <w:color w:val="365F91"/>
      <w:sz w:val="28"/>
      <w:szCs w:val="28"/>
    </w:rPr>
  </w:style>
  <w:style w:type="paragraph" w:styleId="Heading2">
    <w:name w:val="heading 2"/>
    <w:aliases w:val="Heading within article,APA Level 2"/>
    <w:basedOn w:val="Normal"/>
    <w:next w:val="Normal"/>
    <w:link w:val="Heading2Char"/>
    <w:uiPriority w:val="9"/>
    <w:unhideWhenUsed/>
    <w:rsid w:val="00130AC8"/>
    <w:pPr>
      <w:keepNext/>
      <w:keepLines/>
      <w:spacing w:before="200"/>
      <w:outlineLvl w:val="1"/>
    </w:pPr>
    <w:rPr>
      <w:rFonts w:ascii="Cambria" w:eastAsia="Times New Roman" w:hAnsi="Cambria"/>
      <w:b/>
      <w:bCs/>
      <w:color w:val="4F81BD"/>
      <w:sz w:val="26"/>
      <w:szCs w:val="26"/>
    </w:rPr>
  </w:style>
  <w:style w:type="paragraph" w:styleId="Heading3">
    <w:name w:val="heading 3"/>
    <w:aliases w:val="Heading 3 - Gordon,APA Level 3,APA Heading 3"/>
    <w:basedOn w:val="Normal"/>
    <w:next w:val="Normal"/>
    <w:link w:val="Heading3Char"/>
    <w:uiPriority w:val="9"/>
    <w:unhideWhenUsed/>
    <w:rsid w:val="00130AC8"/>
    <w:pPr>
      <w:keepNext/>
      <w:keepLines/>
      <w:spacing w:before="200"/>
      <w:outlineLvl w:val="2"/>
    </w:pPr>
    <w:rPr>
      <w:rFonts w:ascii="Cambria" w:eastAsia="Times New Roman" w:hAnsi="Cambria"/>
      <w:b/>
      <w:bCs/>
      <w:color w:val="4F81BD"/>
    </w:rPr>
  </w:style>
  <w:style w:type="paragraph" w:styleId="Heading4">
    <w:name w:val="heading 4"/>
    <w:aliases w:val="Heading 4 - Gordon,APA Level 4"/>
    <w:basedOn w:val="Normal"/>
    <w:next w:val="Normal"/>
    <w:link w:val="Heading4Char"/>
    <w:uiPriority w:val="9"/>
    <w:unhideWhenUsed/>
    <w:rsid w:val="00130AC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229AA"/>
    <w:pPr>
      <w:keepNext/>
      <w:keepLines/>
      <w:spacing w:before="200" w:line="276" w:lineRule="auto"/>
      <w:outlineLvl w:val="4"/>
    </w:pPr>
    <w:rPr>
      <w:rFonts w:asciiTheme="majorHAnsi" w:eastAsiaTheme="majorEastAsia" w:hAnsiTheme="majorHAnsi" w:cstheme="majorBidi"/>
      <w:color w:val="243F60" w:themeColor="accent1" w:themeShade="7F"/>
      <w:sz w:val="22"/>
      <w:lang w:eastAsia="zh-CN"/>
    </w:rPr>
  </w:style>
  <w:style w:type="paragraph" w:styleId="Heading6">
    <w:name w:val="heading 6"/>
    <w:basedOn w:val="Normal"/>
    <w:next w:val="Normal"/>
    <w:link w:val="Heading6Char"/>
    <w:uiPriority w:val="9"/>
    <w:unhideWhenUsed/>
    <w:rsid w:val="000229AA"/>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zh-CN"/>
    </w:rPr>
  </w:style>
  <w:style w:type="paragraph" w:styleId="Heading7">
    <w:name w:val="heading 7"/>
    <w:basedOn w:val="Normal"/>
    <w:next w:val="Normal"/>
    <w:link w:val="Heading7Char"/>
    <w:uiPriority w:val="9"/>
    <w:unhideWhenUsed/>
    <w:rsid w:val="000229AA"/>
    <w:pPr>
      <w:keepNext/>
      <w:keepLines/>
      <w:spacing w:before="200" w:line="276" w:lineRule="auto"/>
      <w:outlineLvl w:val="6"/>
    </w:pPr>
    <w:rPr>
      <w:rFonts w:asciiTheme="majorHAnsi" w:eastAsiaTheme="majorEastAsia" w:hAnsiTheme="majorHAnsi" w:cstheme="majorBidi"/>
      <w:i/>
      <w:iCs/>
      <w:color w:val="404040" w:themeColor="text1" w:themeTint="BF"/>
      <w:sz w:val="22"/>
      <w:lang w:eastAsia="zh-CN"/>
    </w:rPr>
  </w:style>
  <w:style w:type="paragraph" w:styleId="Heading8">
    <w:name w:val="heading 8"/>
    <w:basedOn w:val="Normal"/>
    <w:next w:val="Normal"/>
    <w:link w:val="Heading8Char"/>
    <w:uiPriority w:val="9"/>
    <w:unhideWhenUsed/>
    <w:rsid w:val="000229AA"/>
    <w:pPr>
      <w:keepNext/>
      <w:keepLines/>
      <w:spacing w:before="200" w:line="276" w:lineRule="auto"/>
      <w:outlineLvl w:val="7"/>
    </w:pPr>
    <w:rPr>
      <w:rFonts w:asciiTheme="majorHAnsi" w:eastAsiaTheme="majorEastAsia" w:hAnsiTheme="majorHAnsi" w:cstheme="majorBidi"/>
      <w:color w:val="4F81BD" w:themeColor="accent1"/>
      <w:szCs w:val="20"/>
      <w:lang w:eastAsia="zh-CN"/>
    </w:rPr>
  </w:style>
  <w:style w:type="paragraph" w:styleId="Heading9">
    <w:name w:val="heading 9"/>
    <w:basedOn w:val="Normal"/>
    <w:next w:val="Normal"/>
    <w:link w:val="Heading9Char"/>
    <w:uiPriority w:val="9"/>
    <w:unhideWhenUsed/>
    <w:rsid w:val="000229AA"/>
    <w:pPr>
      <w:keepNext/>
      <w:keepLines/>
      <w:spacing w:before="200" w:line="276" w:lineRule="auto"/>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ame Char,APA Level 1 Char"/>
    <w:basedOn w:val="DefaultParagraphFont"/>
    <w:link w:val="Heading1"/>
    <w:uiPriority w:val="9"/>
    <w:rsid w:val="00130AC8"/>
    <w:rPr>
      <w:rFonts w:ascii="Cambria" w:eastAsia="Times New Roman" w:hAnsi="Cambria" w:cs="Times New Roman"/>
      <w:b/>
      <w:bCs/>
      <w:color w:val="365F91"/>
      <w:sz w:val="28"/>
      <w:szCs w:val="28"/>
    </w:rPr>
  </w:style>
  <w:style w:type="character" w:customStyle="1" w:styleId="Heading2Char">
    <w:name w:val="Heading 2 Char"/>
    <w:aliases w:val="Heading within article Char,APA Level 2 Char"/>
    <w:basedOn w:val="DefaultParagraphFont"/>
    <w:link w:val="Heading2"/>
    <w:uiPriority w:val="9"/>
    <w:rsid w:val="00130AC8"/>
    <w:rPr>
      <w:rFonts w:ascii="Cambria" w:eastAsia="Times New Roman" w:hAnsi="Cambria" w:cs="Times New Roman"/>
      <w:b/>
      <w:bCs/>
      <w:color w:val="4F81BD"/>
      <w:sz w:val="26"/>
      <w:szCs w:val="26"/>
    </w:rPr>
  </w:style>
  <w:style w:type="character" w:customStyle="1" w:styleId="Heading3Char">
    <w:name w:val="Heading 3 Char"/>
    <w:aliases w:val="Heading 3 - Gordon Char,APA Level 3 Char,APA Heading 3 Char"/>
    <w:basedOn w:val="DefaultParagraphFont"/>
    <w:link w:val="Heading3"/>
    <w:uiPriority w:val="9"/>
    <w:rsid w:val="00130AC8"/>
    <w:rPr>
      <w:rFonts w:ascii="Cambria" w:eastAsia="Times New Roman" w:hAnsi="Cambria" w:cs="Times New Roman"/>
      <w:b/>
      <w:bCs/>
      <w:color w:val="4F81BD"/>
    </w:rPr>
  </w:style>
  <w:style w:type="character" w:customStyle="1" w:styleId="Heading4Char">
    <w:name w:val="Heading 4 Char"/>
    <w:aliases w:val="Heading 4 - Gordon Char,APA Level 4 Char"/>
    <w:basedOn w:val="DefaultParagraphFont"/>
    <w:link w:val="Heading4"/>
    <w:uiPriority w:val="9"/>
    <w:rsid w:val="00130AC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229AA"/>
    <w:rPr>
      <w:rFonts w:asciiTheme="majorHAnsi" w:eastAsiaTheme="majorEastAsia" w:hAnsiTheme="majorHAnsi" w:cstheme="majorBidi"/>
      <w:color w:val="243F60" w:themeColor="accent1" w:themeShade="7F"/>
      <w:sz w:val="22"/>
      <w:szCs w:val="22"/>
      <w:lang w:eastAsia="zh-CN"/>
    </w:rPr>
  </w:style>
  <w:style w:type="character" w:customStyle="1" w:styleId="Heading6Char">
    <w:name w:val="Heading 6 Char"/>
    <w:basedOn w:val="DefaultParagraphFont"/>
    <w:link w:val="Heading6"/>
    <w:uiPriority w:val="9"/>
    <w:rsid w:val="000229AA"/>
    <w:rPr>
      <w:rFonts w:asciiTheme="majorHAnsi" w:eastAsiaTheme="majorEastAsia" w:hAnsiTheme="majorHAnsi" w:cstheme="majorBidi"/>
      <w:i/>
      <w:iCs/>
      <w:color w:val="243F60" w:themeColor="accent1" w:themeShade="7F"/>
      <w:sz w:val="22"/>
      <w:szCs w:val="22"/>
      <w:lang w:eastAsia="zh-CN"/>
    </w:rPr>
  </w:style>
  <w:style w:type="character" w:customStyle="1" w:styleId="Heading7Char">
    <w:name w:val="Heading 7 Char"/>
    <w:basedOn w:val="DefaultParagraphFont"/>
    <w:link w:val="Heading7"/>
    <w:uiPriority w:val="9"/>
    <w:rsid w:val="000229AA"/>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rsid w:val="000229AA"/>
    <w:rPr>
      <w:rFonts w:asciiTheme="majorHAnsi" w:eastAsiaTheme="majorEastAsia" w:hAnsiTheme="majorHAnsi" w:cstheme="majorBidi"/>
      <w:color w:val="4F81BD" w:themeColor="accent1"/>
      <w:lang w:eastAsia="zh-CN"/>
    </w:rPr>
  </w:style>
  <w:style w:type="character" w:customStyle="1" w:styleId="Heading9Char">
    <w:name w:val="Heading 9 Char"/>
    <w:basedOn w:val="DefaultParagraphFont"/>
    <w:link w:val="Heading9"/>
    <w:uiPriority w:val="9"/>
    <w:rsid w:val="000229AA"/>
    <w:rPr>
      <w:rFonts w:asciiTheme="majorHAnsi" w:eastAsiaTheme="majorEastAsia" w:hAnsiTheme="majorHAnsi" w:cstheme="majorBidi"/>
      <w:i/>
      <w:iCs/>
      <w:color w:val="404040" w:themeColor="text1" w:themeTint="BF"/>
      <w:lang w:eastAsia="zh-CN"/>
    </w:rPr>
  </w:style>
  <w:style w:type="paragraph" w:customStyle="1" w:styleId="JANZSSAInstitution">
    <w:name w:val="JANZSSA Institution"/>
    <w:basedOn w:val="JANZSSAAuthor"/>
    <w:link w:val="JANZSSAInstitutionChar"/>
    <w:qFormat/>
    <w:rsid w:val="00571F4B"/>
    <w:pPr>
      <w:spacing w:after="120"/>
    </w:pPr>
  </w:style>
  <w:style w:type="paragraph" w:customStyle="1" w:styleId="JANZSSABodyCopy10pt">
    <w:name w:val="JANZSSA Body Copy 10 pt"/>
    <w:basedOn w:val="JANZSSAreferences"/>
    <w:link w:val="JANZSSABodyCopy10ptChar"/>
    <w:qFormat/>
    <w:rsid w:val="00176032"/>
  </w:style>
  <w:style w:type="character" w:customStyle="1" w:styleId="JANZSSAAuthorChar">
    <w:name w:val="JANZSSA Author Char"/>
    <w:basedOn w:val="DefaultParagraphFont"/>
    <w:link w:val="JANZSSAAuthor"/>
    <w:rsid w:val="00571F4B"/>
    <w:rPr>
      <w:rFonts w:ascii="Times New Roman" w:eastAsia="Calibri" w:hAnsi="Times New Roman"/>
      <w:sz w:val="24"/>
      <w:szCs w:val="24"/>
    </w:rPr>
  </w:style>
  <w:style w:type="character" w:customStyle="1" w:styleId="JANZSSAInstitutionChar">
    <w:name w:val="JANZSSA Institution Char"/>
    <w:basedOn w:val="JANZSSAAuthorChar"/>
    <w:link w:val="JANZSSAInstitution"/>
    <w:rsid w:val="00571F4B"/>
    <w:rPr>
      <w:rFonts w:ascii="Times New Roman" w:eastAsia="Calibri" w:hAnsi="Times New Roman"/>
      <w:sz w:val="24"/>
      <w:szCs w:val="24"/>
    </w:rPr>
  </w:style>
  <w:style w:type="paragraph" w:styleId="Header">
    <w:name w:val="header"/>
    <w:basedOn w:val="Normal"/>
    <w:link w:val="HeaderChar"/>
    <w:uiPriority w:val="99"/>
    <w:unhideWhenUsed/>
    <w:rsid w:val="00C95DA5"/>
    <w:pPr>
      <w:tabs>
        <w:tab w:val="center" w:pos="4513"/>
        <w:tab w:val="right" w:pos="9026"/>
      </w:tabs>
    </w:pPr>
  </w:style>
  <w:style w:type="character" w:customStyle="1" w:styleId="JANZSSABodyCopy10ptChar">
    <w:name w:val="JANZSSA Body Copy 10 pt Char"/>
    <w:basedOn w:val="JANZSSABodycopyChar"/>
    <w:link w:val="JANZSSABodyCopy10pt"/>
    <w:rsid w:val="00176032"/>
    <w:rPr>
      <w:rFonts w:ascii="Times New Roman" w:eastAsia="Calibri" w:hAnsi="Times New Roman"/>
      <w:bCs w:val="0"/>
      <w:iCs w:val="0"/>
      <w:sz w:val="24"/>
      <w:szCs w:val="24"/>
      <w:lang w:eastAsia="ja-JP" w:bidi="fa-IR"/>
    </w:rPr>
  </w:style>
  <w:style w:type="character" w:customStyle="1" w:styleId="HeaderChar">
    <w:name w:val="Header Char"/>
    <w:basedOn w:val="DefaultParagraphFont"/>
    <w:link w:val="Header"/>
    <w:uiPriority w:val="99"/>
    <w:rsid w:val="00C95DA5"/>
    <w:rPr>
      <w:rFonts w:ascii="Times New Roman" w:eastAsia="Calibri" w:hAnsi="Times New Roman"/>
      <w:szCs w:val="22"/>
    </w:rPr>
  </w:style>
  <w:style w:type="paragraph" w:customStyle="1" w:styleId="JANZSSAHeader">
    <w:name w:val="JANZSSA Header"/>
    <w:basedOn w:val="Normal"/>
    <w:link w:val="JANZSSAHeaderChar"/>
    <w:qFormat/>
    <w:rsid w:val="00C95DA5"/>
    <w:rPr>
      <w:i/>
      <w:iCs/>
    </w:rPr>
  </w:style>
  <w:style w:type="paragraph" w:customStyle="1" w:styleId="JANZSSARuningHead">
    <w:name w:val="JANZSSA Runing Head"/>
    <w:basedOn w:val="Normal"/>
    <w:link w:val="JANZSSARuningHeadChar"/>
    <w:qFormat/>
    <w:rsid w:val="00C95DA5"/>
    <w:pPr>
      <w:jc w:val="right"/>
    </w:pPr>
    <w:rPr>
      <w:i/>
      <w:iCs/>
    </w:rPr>
  </w:style>
  <w:style w:type="character" w:customStyle="1" w:styleId="JANZSSAHeaderChar">
    <w:name w:val="JANZSSA Header Char"/>
    <w:basedOn w:val="DefaultParagraphFont"/>
    <w:link w:val="JANZSSAHeader"/>
    <w:rsid w:val="00C95DA5"/>
    <w:rPr>
      <w:rFonts w:ascii="Times New Roman" w:eastAsia="Calibri" w:hAnsi="Times New Roman"/>
      <w:i/>
      <w:iCs/>
      <w:szCs w:val="22"/>
    </w:rPr>
  </w:style>
  <w:style w:type="paragraph" w:customStyle="1" w:styleId="JANZSSAFigureTableNumber">
    <w:name w:val="JANZSSA Figure Table Number"/>
    <w:basedOn w:val="JANZSSATableLabel"/>
    <w:link w:val="JANZSSAFigureTableNumberChar"/>
    <w:qFormat/>
    <w:rsid w:val="00C95DA5"/>
    <w:rPr>
      <w:b/>
      <w:bCs/>
      <w:i w:val="0"/>
      <w:iCs w:val="0"/>
    </w:rPr>
  </w:style>
  <w:style w:type="character" w:customStyle="1" w:styleId="JANZSSARuningHeadChar">
    <w:name w:val="JANZSSA Runing Head Char"/>
    <w:basedOn w:val="DefaultParagraphFont"/>
    <w:link w:val="JANZSSARuningHead"/>
    <w:rsid w:val="00C95DA5"/>
    <w:rPr>
      <w:rFonts w:ascii="Times New Roman" w:eastAsia="Calibri" w:hAnsi="Times New Roman"/>
      <w:i/>
      <w:iCs/>
      <w:szCs w:val="22"/>
    </w:rPr>
  </w:style>
  <w:style w:type="paragraph" w:customStyle="1" w:styleId="JANZSSAHeading1">
    <w:name w:val="JANZSSA Heading 1"/>
    <w:basedOn w:val="Heading1"/>
    <w:link w:val="JANZSSAHeading1Char"/>
    <w:autoRedefine/>
    <w:qFormat/>
    <w:rsid w:val="00F324F7"/>
    <w:pPr>
      <w:spacing w:before="240" w:after="120"/>
    </w:pPr>
    <w:rPr>
      <w:rFonts w:ascii="Times New Roman" w:hAnsi="Times New Roman"/>
      <w:color w:val="auto"/>
      <w:sz w:val="24"/>
      <w:szCs w:val="24"/>
    </w:rPr>
  </w:style>
  <w:style w:type="character" w:customStyle="1" w:styleId="JANZSSAHeading1Char">
    <w:name w:val="JANZSSA Heading 1 Char"/>
    <w:basedOn w:val="Heading1Char"/>
    <w:link w:val="JANZSSAHeading1"/>
    <w:rsid w:val="00F324F7"/>
    <w:rPr>
      <w:rFonts w:ascii="Times New Roman" w:eastAsia="Times New Roman" w:hAnsi="Times New Roman" w:cs="Times New Roman"/>
      <w:b/>
      <w:bCs/>
      <w:color w:val="365F91"/>
      <w:sz w:val="24"/>
      <w:szCs w:val="24"/>
    </w:rPr>
  </w:style>
  <w:style w:type="character" w:customStyle="1" w:styleId="JANZSSAFigureTableNumberChar">
    <w:name w:val="JANZSSA Figure Table Number Char"/>
    <w:basedOn w:val="JANZSSATableLabelChar"/>
    <w:link w:val="JANZSSAFigureTableNumber"/>
    <w:rsid w:val="00C95DA5"/>
    <w:rPr>
      <w:rFonts w:ascii="Times New Roman" w:eastAsia="Calibri" w:hAnsi="Times New Roman"/>
      <w:b/>
      <w:bCs/>
      <w:i w:val="0"/>
      <w:iCs w:val="0"/>
      <w:noProof/>
      <w:lang w:bidi="bn-IN"/>
    </w:rPr>
  </w:style>
  <w:style w:type="paragraph" w:customStyle="1" w:styleId="JANZSSAArticlehead">
    <w:name w:val="JANZSSA Article head"/>
    <w:basedOn w:val="Normal"/>
    <w:qFormat/>
    <w:rsid w:val="006476FB"/>
    <w:pPr>
      <w:keepNext/>
      <w:tabs>
        <w:tab w:val="left" w:pos="9627"/>
      </w:tabs>
      <w:spacing w:before="120" w:after="120"/>
      <w:jc w:val="center"/>
    </w:pPr>
    <w:rPr>
      <w:b/>
      <w:sz w:val="28"/>
      <w:szCs w:val="28"/>
    </w:rPr>
  </w:style>
  <w:style w:type="paragraph" w:customStyle="1" w:styleId="JANZSSAAuthor">
    <w:name w:val="JANZSSA Author"/>
    <w:basedOn w:val="Normal"/>
    <w:link w:val="JANZSSAAuthorChar"/>
    <w:qFormat/>
    <w:rsid w:val="00667072"/>
    <w:pPr>
      <w:jc w:val="center"/>
    </w:pPr>
    <w:rPr>
      <w:sz w:val="24"/>
      <w:szCs w:val="24"/>
    </w:rPr>
  </w:style>
  <w:style w:type="paragraph" w:customStyle="1" w:styleId="JANZSSAAbstractBody">
    <w:name w:val="JANZSSA Abstract Body"/>
    <w:basedOn w:val="Normal"/>
    <w:link w:val="JANZSSAAbstractBodyChar"/>
    <w:autoRedefine/>
    <w:qFormat/>
    <w:rsid w:val="00B81DCB"/>
    <w:pPr>
      <w:spacing w:before="120" w:after="120"/>
      <w:ind w:left="142" w:right="141"/>
    </w:pPr>
    <w:rPr>
      <w:i/>
      <w:iCs/>
      <w:sz w:val="22"/>
      <w:szCs w:val="20"/>
    </w:rPr>
  </w:style>
  <w:style w:type="character" w:customStyle="1" w:styleId="JANZSSAAbstractBodyChar">
    <w:name w:val="JANZSSA Abstract Body Char"/>
    <w:basedOn w:val="DefaultParagraphFont"/>
    <w:link w:val="JANZSSAAbstractBody"/>
    <w:rsid w:val="00B81DCB"/>
    <w:rPr>
      <w:rFonts w:ascii="Times New Roman" w:eastAsia="Calibri" w:hAnsi="Times New Roman"/>
      <w:i/>
      <w:iCs/>
      <w:sz w:val="22"/>
    </w:rPr>
  </w:style>
  <w:style w:type="paragraph" w:customStyle="1" w:styleId="JANZSSANumberList">
    <w:name w:val="JANZSSA Number List"/>
    <w:basedOn w:val="Normal"/>
    <w:link w:val="JANZSSANumberListChar"/>
    <w:autoRedefine/>
    <w:qFormat/>
    <w:rsid w:val="001C0B3F"/>
    <w:pPr>
      <w:numPr>
        <w:numId w:val="18"/>
      </w:numPr>
      <w:spacing w:before="120" w:after="120"/>
      <w:ind w:left="720"/>
    </w:pPr>
    <w:rPr>
      <w:sz w:val="24"/>
      <w:lang w:eastAsia="ja-JP"/>
    </w:rPr>
  </w:style>
  <w:style w:type="character" w:customStyle="1" w:styleId="JANZSSANumberListChar">
    <w:name w:val="JANZSSA Number List Char"/>
    <w:basedOn w:val="DefaultParagraphFont"/>
    <w:link w:val="JANZSSANumberList"/>
    <w:rsid w:val="001C0B3F"/>
    <w:rPr>
      <w:rFonts w:ascii="Times New Roman" w:eastAsia="Calibri" w:hAnsi="Times New Roman"/>
      <w:sz w:val="24"/>
      <w:szCs w:val="22"/>
      <w:lang w:eastAsia="ja-JP"/>
    </w:rPr>
  </w:style>
  <w:style w:type="paragraph" w:customStyle="1" w:styleId="JANZSSAFootnote">
    <w:name w:val="JANZSSA Footnote"/>
    <w:basedOn w:val="Normal"/>
    <w:qFormat/>
    <w:rsid w:val="00130AC8"/>
    <w:rPr>
      <w:sz w:val="18"/>
      <w:szCs w:val="18"/>
    </w:rPr>
  </w:style>
  <w:style w:type="paragraph" w:customStyle="1" w:styleId="JANZSSABodycopy">
    <w:name w:val="JANZSSA Body copy"/>
    <w:basedOn w:val="Normal"/>
    <w:link w:val="JANZSSABodycopyChar"/>
    <w:autoRedefine/>
    <w:qFormat/>
    <w:rsid w:val="00176032"/>
    <w:pPr>
      <w:spacing w:before="120"/>
    </w:pPr>
    <w:rPr>
      <w:bCs/>
      <w:iCs/>
      <w:sz w:val="24"/>
      <w:szCs w:val="24"/>
      <w:lang w:eastAsia="ja-JP" w:bidi="fa-IR"/>
    </w:rPr>
  </w:style>
  <w:style w:type="character" w:customStyle="1" w:styleId="JANZSSABodycopyChar">
    <w:name w:val="JANZSSA Body copy Char"/>
    <w:basedOn w:val="DefaultParagraphFont"/>
    <w:link w:val="JANZSSABodycopy"/>
    <w:rsid w:val="00176032"/>
    <w:rPr>
      <w:rFonts w:ascii="Times New Roman" w:eastAsia="Calibri" w:hAnsi="Times New Roman"/>
      <w:bCs/>
      <w:iCs/>
      <w:sz w:val="24"/>
      <w:szCs w:val="24"/>
      <w:lang w:eastAsia="ja-JP" w:bidi="fa-IR"/>
    </w:rPr>
  </w:style>
  <w:style w:type="paragraph" w:customStyle="1" w:styleId="JANZSSANumberedheading">
    <w:name w:val="JANZSSA Numbered heading"/>
    <w:basedOn w:val="Normal"/>
    <w:link w:val="JANZSSANumberedheadingChar"/>
    <w:autoRedefine/>
    <w:qFormat/>
    <w:rsid w:val="00571F4B"/>
    <w:pPr>
      <w:keepNext/>
      <w:numPr>
        <w:numId w:val="14"/>
      </w:numPr>
      <w:tabs>
        <w:tab w:val="left" w:pos="360"/>
      </w:tabs>
      <w:spacing w:before="240"/>
      <w:ind w:left="446" w:hanging="446"/>
    </w:pPr>
    <w:rPr>
      <w:b/>
      <w:sz w:val="24"/>
    </w:rPr>
  </w:style>
  <w:style w:type="character" w:customStyle="1" w:styleId="JANZSSANumberedheadingChar">
    <w:name w:val="JANZSSA Numbered heading Char"/>
    <w:basedOn w:val="Heading3Char"/>
    <w:link w:val="JANZSSANumberedheading"/>
    <w:rsid w:val="00CF6448"/>
    <w:rPr>
      <w:rFonts w:ascii="Times New Roman" w:eastAsia="Calibri" w:hAnsi="Times New Roman" w:cs="Times New Roman"/>
      <w:b/>
      <w:bCs w:val="0"/>
      <w:color w:val="4F81BD"/>
      <w:sz w:val="24"/>
      <w:szCs w:val="22"/>
    </w:rPr>
  </w:style>
  <w:style w:type="paragraph" w:customStyle="1" w:styleId="JANZSSAfootnote0">
    <w:name w:val="JANZSSA footnote"/>
    <w:basedOn w:val="Normal"/>
    <w:link w:val="JANZSSAfootnoteChar"/>
    <w:rsid w:val="00104130"/>
    <w:rPr>
      <w:sz w:val="18"/>
      <w:szCs w:val="18"/>
    </w:rPr>
  </w:style>
  <w:style w:type="character" w:customStyle="1" w:styleId="JANZSSAfootnoteChar">
    <w:name w:val="JANZSSA footnote Char"/>
    <w:basedOn w:val="DefaultParagraphFont"/>
    <w:link w:val="JANZSSAfootnote0"/>
    <w:rsid w:val="00104130"/>
    <w:rPr>
      <w:rFonts w:ascii="Times New Roman" w:eastAsia="Calibri" w:hAnsi="Times New Roman" w:cs="Times New Roman"/>
      <w:sz w:val="18"/>
      <w:szCs w:val="18"/>
    </w:rPr>
  </w:style>
  <w:style w:type="paragraph" w:customStyle="1" w:styleId="JANZSSABullet">
    <w:name w:val="JANZSSA Bullet"/>
    <w:basedOn w:val="Normal"/>
    <w:link w:val="JANZSSABulletChar"/>
    <w:autoRedefine/>
    <w:qFormat/>
    <w:rsid w:val="006A0AF4"/>
    <w:pPr>
      <w:numPr>
        <w:numId w:val="1"/>
      </w:numPr>
      <w:spacing w:before="120" w:after="120"/>
      <w:jc w:val="both"/>
    </w:pPr>
    <w:rPr>
      <w:sz w:val="24"/>
      <w:szCs w:val="24"/>
      <w:shd w:val="clear" w:color="auto" w:fill="FFFFFF" w:themeFill="background1"/>
    </w:rPr>
  </w:style>
  <w:style w:type="character" w:customStyle="1" w:styleId="JANZSSABulletChar">
    <w:name w:val="JANZSSA Bullet Char"/>
    <w:basedOn w:val="DefaultParagraphFont"/>
    <w:link w:val="JANZSSABullet"/>
    <w:rsid w:val="006A0AF4"/>
    <w:rPr>
      <w:rFonts w:ascii="Times New Roman" w:eastAsia="Calibri" w:hAnsi="Times New Roman"/>
      <w:sz w:val="24"/>
      <w:szCs w:val="24"/>
    </w:rPr>
  </w:style>
  <w:style w:type="paragraph" w:customStyle="1" w:styleId="JANZSSAHeading2">
    <w:name w:val="JANZSSA Heading 2"/>
    <w:basedOn w:val="JANZSSAHeading1"/>
    <w:link w:val="JANZSSAHeading2Char"/>
    <w:autoRedefine/>
    <w:qFormat/>
    <w:rsid w:val="00BB7D85"/>
    <w:pPr>
      <w:spacing w:before="120"/>
    </w:pPr>
    <w:rPr>
      <w:rFonts w:eastAsia="Calibri" w:cs="Segoe UI"/>
      <w:bCs w:val="0"/>
      <w:i/>
      <w:shd w:val="clear" w:color="auto" w:fill="FFFFFF"/>
      <w:lang w:val="en"/>
    </w:rPr>
  </w:style>
  <w:style w:type="character" w:customStyle="1" w:styleId="JANZSSAHeading2Char">
    <w:name w:val="JANZSSA Heading 2 Char"/>
    <w:basedOn w:val="DefaultParagraphFont"/>
    <w:link w:val="JANZSSAHeading2"/>
    <w:rsid w:val="00BB7D85"/>
    <w:rPr>
      <w:rFonts w:ascii="Times New Roman" w:eastAsia="Calibri" w:hAnsi="Times New Roman" w:cs="Segoe UI"/>
      <w:b/>
      <w:i/>
      <w:sz w:val="24"/>
      <w:szCs w:val="24"/>
      <w:lang w:val="en"/>
    </w:rPr>
  </w:style>
  <w:style w:type="paragraph" w:customStyle="1" w:styleId="JANZSSAQuote">
    <w:name w:val="JANZSSA Quote"/>
    <w:basedOn w:val="Normal"/>
    <w:link w:val="JANZSSAQuoteChar"/>
    <w:qFormat/>
    <w:rsid w:val="001C0B3F"/>
    <w:pPr>
      <w:spacing w:before="120" w:after="120"/>
      <w:ind w:left="720" w:right="284"/>
    </w:pPr>
    <w:rPr>
      <w:i/>
      <w:iCs/>
      <w:sz w:val="24"/>
      <w:szCs w:val="28"/>
      <w:shd w:val="clear" w:color="auto" w:fill="FFFFFF" w:themeFill="background1"/>
    </w:rPr>
  </w:style>
  <w:style w:type="character" w:customStyle="1" w:styleId="JANZSSAQuoteChar">
    <w:name w:val="JANZSSA Quote Char"/>
    <w:basedOn w:val="DefaultParagraphFont"/>
    <w:link w:val="JANZSSAQuote"/>
    <w:rsid w:val="001C0B3F"/>
    <w:rPr>
      <w:rFonts w:ascii="Times New Roman" w:eastAsia="Calibri" w:hAnsi="Times New Roman"/>
      <w:i/>
      <w:iCs/>
      <w:color w:val="000000"/>
      <w:sz w:val="24"/>
      <w:szCs w:val="28"/>
    </w:rPr>
  </w:style>
  <w:style w:type="paragraph" w:customStyle="1" w:styleId="JANZSSAreferences">
    <w:name w:val="JANZSSA references"/>
    <w:basedOn w:val="Normal"/>
    <w:link w:val="JANZSSAreferencesChar"/>
    <w:qFormat/>
    <w:rsid w:val="007E4397"/>
    <w:pPr>
      <w:spacing w:before="120" w:after="40"/>
      <w:ind w:left="720" w:hanging="720"/>
    </w:pPr>
    <w:rPr>
      <w:szCs w:val="20"/>
    </w:rPr>
  </w:style>
  <w:style w:type="character" w:customStyle="1" w:styleId="JANZSSAreferencesChar">
    <w:name w:val="JANZSSA references Char"/>
    <w:basedOn w:val="DefaultParagraphFont"/>
    <w:link w:val="JANZSSAreferences"/>
    <w:rsid w:val="007E4397"/>
    <w:rPr>
      <w:rFonts w:ascii="Times New Roman" w:eastAsia="Calibri" w:hAnsi="Times New Roman"/>
    </w:rPr>
  </w:style>
  <w:style w:type="table" w:styleId="TableGrid">
    <w:name w:val="Table Grid"/>
    <w:basedOn w:val="TableNormal"/>
    <w:uiPriority w:val="39"/>
    <w:rsid w:val="00270C2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270C2D"/>
    <w:rPr>
      <w:rFonts w:eastAsia="Calibri"/>
      <w:sz w:val="22"/>
      <w:szCs w:val="22"/>
      <w:lang w:val="en-US" w:eastAsia="en-US"/>
    </w:rPr>
  </w:style>
  <w:style w:type="paragraph" w:customStyle="1" w:styleId="JANZSSATableLabel">
    <w:name w:val="JANZSSA Table Label"/>
    <w:basedOn w:val="Normal"/>
    <w:link w:val="JANZSSATableLabelChar"/>
    <w:qFormat/>
    <w:rsid w:val="006A0AF4"/>
    <w:pPr>
      <w:keepNext/>
      <w:tabs>
        <w:tab w:val="left" w:pos="993"/>
      </w:tabs>
      <w:spacing w:before="120" w:after="120"/>
    </w:pPr>
    <w:rPr>
      <w:i/>
      <w:iCs/>
      <w:noProof/>
      <w:szCs w:val="20"/>
      <w:lang w:bidi="bn-IN"/>
    </w:rPr>
  </w:style>
  <w:style w:type="character" w:customStyle="1" w:styleId="JANZSSATableLabelChar">
    <w:name w:val="JANZSSA Table Label Char"/>
    <w:basedOn w:val="DefaultParagraphFont"/>
    <w:link w:val="JANZSSATableLabel"/>
    <w:rsid w:val="006A0AF4"/>
    <w:rPr>
      <w:rFonts w:ascii="Times New Roman" w:eastAsia="Calibri" w:hAnsi="Times New Roman"/>
      <w:i/>
      <w:iCs/>
      <w:noProof/>
      <w:lang w:bidi="bn-IN"/>
    </w:rPr>
  </w:style>
  <w:style w:type="paragraph" w:customStyle="1" w:styleId="JANZSSAHeading3">
    <w:name w:val="JANZSSA Heading 3"/>
    <w:basedOn w:val="JANZSSAHeading2"/>
    <w:link w:val="JANZSSAHeading3Char"/>
    <w:autoRedefine/>
    <w:qFormat/>
    <w:rsid w:val="00BB7D85"/>
    <w:rPr>
      <w:rFonts w:eastAsia="MS Mincho"/>
      <w:b w:val="0"/>
      <w:bCs/>
      <w:lang w:eastAsia="ja-JP"/>
    </w:rPr>
  </w:style>
  <w:style w:type="character" w:customStyle="1" w:styleId="JANZSSAHeading3Char">
    <w:name w:val="JANZSSA Heading 3 Char"/>
    <w:basedOn w:val="JANZSSAHeading2Char"/>
    <w:link w:val="JANZSSAHeading3"/>
    <w:rsid w:val="00BB7D85"/>
    <w:rPr>
      <w:rFonts w:ascii="Times New Roman" w:eastAsia="MS Mincho" w:hAnsi="Times New Roman" w:cs="Segoe UI"/>
      <w:b w:val="0"/>
      <w:bCs/>
      <w:i/>
      <w:sz w:val="24"/>
      <w:szCs w:val="24"/>
      <w:lang w:val="en" w:eastAsia="ja-JP"/>
    </w:rPr>
  </w:style>
  <w:style w:type="paragraph" w:customStyle="1" w:styleId="JANZSSAHeading4">
    <w:name w:val="JANZSSA Heading 4"/>
    <w:basedOn w:val="JANZSSAHeading3"/>
    <w:link w:val="JANZSSAHeading4Char"/>
    <w:autoRedefine/>
    <w:qFormat/>
    <w:rsid w:val="00BB7D85"/>
    <w:rPr>
      <w:bCs w:val="0"/>
      <w:i w:val="0"/>
      <w:iCs/>
      <w:sz w:val="20"/>
      <w:szCs w:val="26"/>
    </w:rPr>
  </w:style>
  <w:style w:type="character" w:customStyle="1" w:styleId="JANZSSAHeading4Char">
    <w:name w:val="JANZSSA Heading 4 Char"/>
    <w:basedOn w:val="JANZSSAHeading3Char"/>
    <w:link w:val="JANZSSAHeading4"/>
    <w:rsid w:val="00BB7D85"/>
    <w:rPr>
      <w:rFonts w:ascii="Times New Roman" w:eastAsia="MS Mincho" w:hAnsi="Times New Roman" w:cs="Segoe UI"/>
      <w:b w:val="0"/>
      <w:bCs w:val="0"/>
      <w:i w:val="0"/>
      <w:iCs/>
      <w:sz w:val="24"/>
      <w:szCs w:val="26"/>
      <w:lang w:val="en" w:eastAsia="ja-JP"/>
    </w:rPr>
  </w:style>
  <w:style w:type="paragraph" w:customStyle="1" w:styleId="JANZSSANumbersItalics">
    <w:name w:val="JANZSSA Numbers Italics"/>
    <w:basedOn w:val="JANZSSANumberList"/>
    <w:link w:val="JANZSSANumbersItalicsChar"/>
    <w:qFormat/>
    <w:rsid w:val="00AA7C01"/>
    <w:pPr>
      <w:numPr>
        <w:numId w:val="3"/>
      </w:numPr>
    </w:pPr>
    <w:rPr>
      <w:i/>
    </w:rPr>
  </w:style>
  <w:style w:type="character" w:customStyle="1" w:styleId="JANZSSANumbersItalicsChar">
    <w:name w:val="JANZSSA Numbers Italics Char"/>
    <w:basedOn w:val="JANZSSANumberListChar"/>
    <w:link w:val="JANZSSANumbersItalics"/>
    <w:rsid w:val="00AA7C01"/>
    <w:rPr>
      <w:rFonts w:ascii="Times New Roman" w:eastAsia="Calibri" w:hAnsi="Times New Roman"/>
      <w:i/>
      <w:sz w:val="24"/>
      <w:szCs w:val="22"/>
      <w:lang w:eastAsia="ja-JP"/>
    </w:rPr>
  </w:style>
  <w:style w:type="table" w:customStyle="1" w:styleId="TableGrid1">
    <w:name w:val="Table Grid1"/>
    <w:basedOn w:val="TableNormal"/>
    <w:next w:val="TableGrid"/>
    <w:uiPriority w:val="39"/>
    <w:rsid w:val="00695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rsid w:val="00A309FE"/>
    <w:rPr>
      <w:rFonts w:eastAsia="Malgun Gothic"/>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JANZSSATableContents">
    <w:name w:val="JANZSSA Table Contents"/>
    <w:basedOn w:val="Normal"/>
    <w:link w:val="JANZSSATableContentsChar"/>
    <w:qFormat/>
    <w:rsid w:val="005B6516"/>
    <w:rPr>
      <w:rFonts w:eastAsiaTheme="minorEastAsia"/>
      <w:szCs w:val="20"/>
      <w:shd w:val="clear" w:color="auto" w:fill="FFFFFF"/>
      <w:lang w:eastAsia="en-US"/>
    </w:rPr>
  </w:style>
  <w:style w:type="character" w:customStyle="1" w:styleId="JANZSSATableContentsChar">
    <w:name w:val="JANZSSA Table Contents Char"/>
    <w:basedOn w:val="DefaultParagraphFont"/>
    <w:link w:val="JANZSSATableContents"/>
    <w:rsid w:val="005B6516"/>
    <w:rPr>
      <w:rFonts w:ascii="Times New Roman" w:eastAsiaTheme="minorEastAsia" w:hAnsi="Times New Roman"/>
      <w:lang w:eastAsia="en-US"/>
    </w:rPr>
  </w:style>
  <w:style w:type="numbering" w:customStyle="1" w:styleId="List0">
    <w:name w:val="List 0"/>
    <w:basedOn w:val="ImportedStyle1"/>
    <w:rsid w:val="00BF21B1"/>
    <w:pPr>
      <w:numPr>
        <w:numId w:val="8"/>
      </w:numPr>
    </w:pPr>
  </w:style>
  <w:style w:type="numbering" w:customStyle="1" w:styleId="ImportedStyle1">
    <w:name w:val="Imported Style 1"/>
    <w:rsid w:val="00BF21B1"/>
    <w:pPr>
      <w:numPr>
        <w:numId w:val="15"/>
      </w:numPr>
    </w:pPr>
  </w:style>
  <w:style w:type="numbering" w:customStyle="1" w:styleId="List1">
    <w:name w:val="List 1"/>
    <w:basedOn w:val="ImportedStyle2"/>
    <w:rsid w:val="00BF21B1"/>
    <w:pPr>
      <w:numPr>
        <w:numId w:val="5"/>
      </w:numPr>
    </w:pPr>
  </w:style>
  <w:style w:type="numbering" w:customStyle="1" w:styleId="ImportedStyle2">
    <w:name w:val="Imported Style 2"/>
    <w:rsid w:val="00BF21B1"/>
  </w:style>
  <w:style w:type="numbering" w:customStyle="1" w:styleId="List21">
    <w:name w:val="List 21"/>
    <w:basedOn w:val="ImportedStyle3"/>
    <w:rsid w:val="00BF21B1"/>
    <w:pPr>
      <w:numPr>
        <w:numId w:val="6"/>
      </w:numPr>
    </w:pPr>
  </w:style>
  <w:style w:type="numbering" w:customStyle="1" w:styleId="ImportedStyle3">
    <w:name w:val="Imported Style 3"/>
    <w:rsid w:val="00BF21B1"/>
  </w:style>
  <w:style w:type="numbering" w:customStyle="1" w:styleId="List31">
    <w:name w:val="List 31"/>
    <w:basedOn w:val="ImportedStyle3"/>
    <w:rsid w:val="00BF21B1"/>
    <w:pPr>
      <w:numPr>
        <w:numId w:val="7"/>
      </w:numPr>
    </w:pPr>
  </w:style>
  <w:style w:type="table" w:styleId="LightShading">
    <w:name w:val="Light Shading"/>
    <w:basedOn w:val="TableNormal"/>
    <w:uiPriority w:val="60"/>
    <w:rsid w:val="00BF21B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5F1652"/>
    <w:rPr>
      <w:rFonts w:ascii="Times New Roman" w:eastAsiaTheme="minorEastAsia" w:hAnsi="Times New Roman"/>
      <w:sz w:val="20"/>
      <w:szCs w:val="20"/>
      <w:lang w:val="en-GB"/>
    </w:rPr>
  </w:style>
  <w:style w:type="table" w:customStyle="1" w:styleId="ANUrowcolumnheader">
    <w:name w:val="ANU row/column header"/>
    <w:basedOn w:val="TableNormal"/>
    <w:uiPriority w:val="99"/>
    <w:rsid w:val="002A5E4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B8CCE4" w:themeFill="accent1" w:themeFillTint="66"/>
      </w:tcPr>
    </w:tblStylePr>
    <w:tblStylePr w:type="firstCol">
      <w:rPr>
        <w:b/>
      </w:rPr>
      <w:tblPr/>
      <w:tcPr>
        <w:shd w:val="clear" w:color="auto" w:fill="B8CCE4" w:themeFill="accent1" w:themeFillTint="66"/>
      </w:tcPr>
    </w:tblStylePr>
  </w:style>
  <w:style w:type="numbering" w:customStyle="1" w:styleId="Style1">
    <w:name w:val="Style1"/>
    <w:uiPriority w:val="99"/>
    <w:rsid w:val="007570EA"/>
    <w:pPr>
      <w:numPr>
        <w:numId w:val="12"/>
      </w:numPr>
    </w:pPr>
  </w:style>
  <w:style w:type="table" w:customStyle="1" w:styleId="GridTable6Colorful-Accent11">
    <w:name w:val="Grid Table 6 Colorful - Accent 11"/>
    <w:basedOn w:val="TableNormal"/>
    <w:uiPriority w:val="51"/>
    <w:rsid w:val="005C026D"/>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02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2D477D"/>
    <w:rPr>
      <w:rFonts w:asciiTheme="minorHAnsi" w:eastAsiaTheme="minorHAnsi" w:hAnsiTheme="minorHAnsi" w:cstheme="minorBidi"/>
      <w:sz w:val="22"/>
      <w:szCs w:val="22"/>
      <w:lang w:val="en-N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z-BottomofForm">
    <w:name w:val="HTML Bottom of Form"/>
    <w:basedOn w:val="Normal"/>
    <w:next w:val="Normal"/>
    <w:link w:val="z-BottomofFormChar"/>
    <w:hidden/>
    <w:uiPriority w:val="99"/>
    <w:semiHidden/>
    <w:unhideWhenUsed/>
    <w:rsid w:val="005A505A"/>
    <w:pPr>
      <w:pBdr>
        <w:top w:val="single" w:sz="6" w:space="1" w:color="auto"/>
      </w:pBdr>
      <w:jc w:val="center"/>
    </w:pPr>
    <w:rPr>
      <w:rFonts w:ascii="Arial" w:eastAsia="MS Mincho"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5A505A"/>
    <w:rPr>
      <w:rFonts w:ascii="Arial" w:eastAsia="MS Mincho" w:hAnsi="Arial" w:cs="Arial"/>
      <w:vanish/>
      <w:sz w:val="16"/>
      <w:szCs w:val="16"/>
      <w:lang w:val="en-US" w:eastAsia="en-US"/>
    </w:rPr>
  </w:style>
  <w:style w:type="character" w:customStyle="1" w:styleId="UnresolvedMention3">
    <w:name w:val="Unresolved Mention3"/>
    <w:basedOn w:val="DefaultParagraphFont"/>
    <w:uiPriority w:val="99"/>
    <w:semiHidden/>
    <w:unhideWhenUsed/>
    <w:rsid w:val="00686C9C"/>
    <w:rPr>
      <w:color w:val="808080"/>
      <w:shd w:val="clear" w:color="auto" w:fill="E6E6E6"/>
    </w:rPr>
  </w:style>
  <w:style w:type="character" w:customStyle="1" w:styleId="UnresolvedMention31">
    <w:name w:val="Unresolved Mention31"/>
    <w:basedOn w:val="DefaultParagraphFont"/>
    <w:uiPriority w:val="99"/>
    <w:semiHidden/>
    <w:unhideWhenUsed/>
    <w:rsid w:val="002275C5"/>
    <w:rPr>
      <w:color w:val="808080"/>
      <w:shd w:val="clear" w:color="auto" w:fill="E6E6E6"/>
    </w:rPr>
  </w:style>
  <w:style w:type="table" w:customStyle="1" w:styleId="GridTable1Light-Accent11">
    <w:name w:val="Grid Table 1 Light - Accent 11"/>
    <w:basedOn w:val="TableNormal"/>
    <w:uiPriority w:val="46"/>
    <w:rsid w:val="008D5E3E"/>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rsid w:val="003E3E3B"/>
    <w:rPr>
      <w:color w:val="605E5C"/>
      <w:shd w:val="clear" w:color="auto" w:fill="E1DFDD"/>
    </w:rPr>
  </w:style>
  <w:style w:type="character" w:customStyle="1" w:styleId="UnresolvedMention5">
    <w:name w:val="Unresolved Mention5"/>
    <w:basedOn w:val="DefaultParagraphFont"/>
    <w:uiPriority w:val="99"/>
    <w:semiHidden/>
    <w:unhideWhenUsed/>
    <w:rsid w:val="00810B6F"/>
    <w:rPr>
      <w:color w:val="605E5C"/>
      <w:shd w:val="clear" w:color="auto" w:fill="E1DFDD"/>
    </w:rPr>
  </w:style>
  <w:style w:type="character" w:styleId="PlaceholderText">
    <w:name w:val="Placeholder Text"/>
    <w:basedOn w:val="DefaultParagraphFont"/>
    <w:uiPriority w:val="99"/>
    <w:semiHidden/>
    <w:rsid w:val="00177ECC"/>
    <w:rPr>
      <w:color w:val="808080"/>
    </w:rPr>
  </w:style>
  <w:style w:type="character" w:customStyle="1" w:styleId="UnresolvedMention6">
    <w:name w:val="Unresolved Mention6"/>
    <w:basedOn w:val="DefaultParagraphFont"/>
    <w:uiPriority w:val="99"/>
    <w:semiHidden/>
    <w:unhideWhenUsed/>
    <w:rsid w:val="00A04B4E"/>
    <w:rPr>
      <w:color w:val="605E5C"/>
      <w:shd w:val="clear" w:color="auto" w:fill="E1DFDD"/>
    </w:rPr>
  </w:style>
  <w:style w:type="character" w:styleId="UnresolvedMention">
    <w:name w:val="Unresolved Mention"/>
    <w:basedOn w:val="DefaultParagraphFont"/>
    <w:uiPriority w:val="99"/>
    <w:semiHidden/>
    <w:unhideWhenUsed/>
    <w:rsid w:val="00682618"/>
    <w:rPr>
      <w:color w:val="605E5C"/>
      <w:shd w:val="clear" w:color="auto" w:fill="E1DFDD"/>
    </w:rPr>
  </w:style>
  <w:style w:type="paragraph" w:customStyle="1" w:styleId="JANZSSAFooter">
    <w:name w:val="JANZSSA Footer"/>
    <w:basedOn w:val="Normal"/>
    <w:link w:val="JANZSSAFooterChar"/>
    <w:qFormat/>
    <w:rsid w:val="00D17AB6"/>
    <w:pPr>
      <w:tabs>
        <w:tab w:val="center" w:pos="4973"/>
        <w:tab w:val="right" w:pos="9927"/>
      </w:tabs>
      <w:autoSpaceDE w:val="0"/>
      <w:autoSpaceDN w:val="0"/>
      <w:spacing w:before="120"/>
      <w:ind w:right="360" w:firstLine="360"/>
      <w:contextualSpacing/>
      <w:jc w:val="center"/>
    </w:pPr>
    <w:rPr>
      <w:i/>
      <w:iCs/>
      <w:sz w:val="18"/>
      <w:szCs w:val="18"/>
    </w:rPr>
  </w:style>
  <w:style w:type="paragraph" w:customStyle="1" w:styleId="JANZSSAHeading5">
    <w:name w:val="JANZSSA Heading 5"/>
    <w:basedOn w:val="JANZSSAHeading4"/>
    <w:link w:val="JANZSSAHeading5Char"/>
    <w:rsid w:val="00C95DA5"/>
    <w:rPr>
      <w:b/>
      <w:bCs/>
      <w:i/>
      <w:iCs w:val="0"/>
      <w:szCs w:val="20"/>
    </w:rPr>
  </w:style>
  <w:style w:type="character" w:customStyle="1" w:styleId="JANZSSAFooterChar">
    <w:name w:val="JANZSSA Footer Char"/>
    <w:basedOn w:val="DefaultParagraphFont"/>
    <w:link w:val="JANZSSAFooter"/>
    <w:rsid w:val="00D17AB6"/>
    <w:rPr>
      <w:rFonts w:ascii="Times New Roman" w:eastAsia="Calibri" w:hAnsi="Times New Roman"/>
      <w:i/>
      <w:iCs/>
      <w:sz w:val="18"/>
      <w:szCs w:val="18"/>
    </w:rPr>
  </w:style>
  <w:style w:type="character" w:customStyle="1" w:styleId="JANZSSAHeading5Char">
    <w:name w:val="JANZSSA Heading 5 Char"/>
    <w:basedOn w:val="JANZSSATableContentsChar"/>
    <w:link w:val="JANZSSAHeading5"/>
    <w:rsid w:val="00C95DA5"/>
    <w:rPr>
      <w:rFonts w:ascii="Times New Roman" w:eastAsia="MS Mincho" w:hAnsi="Times New Roman" w:cs="Segoe UI"/>
      <w:b/>
      <w:bCs/>
      <w:lang w:val="en" w:eastAsia="ja-JP"/>
    </w:rPr>
  </w:style>
  <w:style w:type="character" w:styleId="Hyperlink">
    <w:name w:val="Hyperlink"/>
    <w:basedOn w:val="DefaultParagraphFont"/>
    <w:uiPriority w:val="99"/>
    <w:unhideWhenUsed/>
    <w:rsid w:val="000C01BB"/>
    <w:rPr>
      <w:color w:val="0000FF" w:themeColor="hyperlink"/>
      <w:u w:val="single"/>
    </w:rPr>
  </w:style>
  <w:style w:type="character" w:styleId="CommentReference">
    <w:name w:val="annotation reference"/>
    <w:basedOn w:val="DefaultParagraphFont"/>
    <w:uiPriority w:val="99"/>
    <w:semiHidden/>
    <w:unhideWhenUsed/>
    <w:rsid w:val="0057374B"/>
    <w:rPr>
      <w:sz w:val="16"/>
      <w:szCs w:val="16"/>
    </w:rPr>
  </w:style>
  <w:style w:type="paragraph" w:styleId="CommentText">
    <w:name w:val="annotation text"/>
    <w:basedOn w:val="Normal"/>
    <w:link w:val="CommentTextChar"/>
    <w:uiPriority w:val="99"/>
    <w:unhideWhenUsed/>
    <w:rsid w:val="0057374B"/>
    <w:rPr>
      <w:szCs w:val="20"/>
    </w:rPr>
  </w:style>
  <w:style w:type="character" w:customStyle="1" w:styleId="CommentTextChar">
    <w:name w:val="Comment Text Char"/>
    <w:basedOn w:val="DefaultParagraphFont"/>
    <w:link w:val="CommentText"/>
    <w:uiPriority w:val="99"/>
    <w:rsid w:val="0057374B"/>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57374B"/>
    <w:rPr>
      <w:b/>
      <w:bCs/>
    </w:rPr>
  </w:style>
  <w:style w:type="character" w:customStyle="1" w:styleId="CommentSubjectChar">
    <w:name w:val="Comment Subject Char"/>
    <w:basedOn w:val="CommentTextChar"/>
    <w:link w:val="CommentSubject"/>
    <w:uiPriority w:val="99"/>
    <w:semiHidden/>
    <w:rsid w:val="0057374B"/>
    <w:rPr>
      <w:rFonts w:ascii="Times New Roman" w:eastAsia="Calibri" w:hAnsi="Times New Roman"/>
      <w:b/>
      <w:bCs/>
    </w:rPr>
  </w:style>
  <w:style w:type="table" w:styleId="PlainTable2">
    <w:name w:val="Plain Table 2"/>
    <w:basedOn w:val="TableNormal"/>
    <w:uiPriority w:val="99"/>
    <w:rsid w:val="00B107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B107A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107A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185A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123">
      <w:bodyDiv w:val="1"/>
      <w:marLeft w:val="0"/>
      <w:marRight w:val="0"/>
      <w:marTop w:val="0"/>
      <w:marBottom w:val="0"/>
      <w:divBdr>
        <w:top w:val="none" w:sz="0" w:space="0" w:color="auto"/>
        <w:left w:val="none" w:sz="0" w:space="0" w:color="auto"/>
        <w:bottom w:val="none" w:sz="0" w:space="0" w:color="auto"/>
        <w:right w:val="none" w:sz="0" w:space="0" w:color="auto"/>
      </w:divBdr>
    </w:div>
    <w:div w:id="34816285">
      <w:bodyDiv w:val="1"/>
      <w:marLeft w:val="0"/>
      <w:marRight w:val="0"/>
      <w:marTop w:val="0"/>
      <w:marBottom w:val="0"/>
      <w:divBdr>
        <w:top w:val="none" w:sz="0" w:space="0" w:color="auto"/>
        <w:left w:val="none" w:sz="0" w:space="0" w:color="auto"/>
        <w:bottom w:val="none" w:sz="0" w:space="0" w:color="auto"/>
        <w:right w:val="none" w:sz="0" w:space="0" w:color="auto"/>
      </w:divBdr>
    </w:div>
    <w:div w:id="135489262">
      <w:bodyDiv w:val="1"/>
      <w:marLeft w:val="0"/>
      <w:marRight w:val="0"/>
      <w:marTop w:val="0"/>
      <w:marBottom w:val="0"/>
      <w:divBdr>
        <w:top w:val="none" w:sz="0" w:space="0" w:color="auto"/>
        <w:left w:val="none" w:sz="0" w:space="0" w:color="auto"/>
        <w:bottom w:val="none" w:sz="0" w:space="0" w:color="auto"/>
        <w:right w:val="none" w:sz="0" w:space="0" w:color="auto"/>
      </w:divBdr>
    </w:div>
    <w:div w:id="155810159">
      <w:bodyDiv w:val="1"/>
      <w:marLeft w:val="0"/>
      <w:marRight w:val="0"/>
      <w:marTop w:val="0"/>
      <w:marBottom w:val="0"/>
      <w:divBdr>
        <w:top w:val="none" w:sz="0" w:space="0" w:color="auto"/>
        <w:left w:val="none" w:sz="0" w:space="0" w:color="auto"/>
        <w:bottom w:val="none" w:sz="0" w:space="0" w:color="auto"/>
        <w:right w:val="none" w:sz="0" w:space="0" w:color="auto"/>
      </w:divBdr>
    </w:div>
    <w:div w:id="206727696">
      <w:bodyDiv w:val="1"/>
      <w:marLeft w:val="0"/>
      <w:marRight w:val="0"/>
      <w:marTop w:val="0"/>
      <w:marBottom w:val="0"/>
      <w:divBdr>
        <w:top w:val="none" w:sz="0" w:space="0" w:color="auto"/>
        <w:left w:val="none" w:sz="0" w:space="0" w:color="auto"/>
        <w:bottom w:val="none" w:sz="0" w:space="0" w:color="auto"/>
        <w:right w:val="none" w:sz="0" w:space="0" w:color="auto"/>
      </w:divBdr>
    </w:div>
    <w:div w:id="267854028">
      <w:bodyDiv w:val="1"/>
      <w:marLeft w:val="0"/>
      <w:marRight w:val="0"/>
      <w:marTop w:val="0"/>
      <w:marBottom w:val="0"/>
      <w:divBdr>
        <w:top w:val="none" w:sz="0" w:space="0" w:color="auto"/>
        <w:left w:val="none" w:sz="0" w:space="0" w:color="auto"/>
        <w:bottom w:val="none" w:sz="0" w:space="0" w:color="auto"/>
        <w:right w:val="none" w:sz="0" w:space="0" w:color="auto"/>
      </w:divBdr>
    </w:div>
    <w:div w:id="278489634">
      <w:bodyDiv w:val="1"/>
      <w:marLeft w:val="0"/>
      <w:marRight w:val="0"/>
      <w:marTop w:val="0"/>
      <w:marBottom w:val="0"/>
      <w:divBdr>
        <w:top w:val="none" w:sz="0" w:space="0" w:color="auto"/>
        <w:left w:val="none" w:sz="0" w:space="0" w:color="auto"/>
        <w:bottom w:val="none" w:sz="0" w:space="0" w:color="auto"/>
        <w:right w:val="none" w:sz="0" w:space="0" w:color="auto"/>
      </w:divBdr>
      <w:divsChild>
        <w:div w:id="21366859">
          <w:marLeft w:val="0"/>
          <w:marRight w:val="0"/>
          <w:marTop w:val="0"/>
          <w:marBottom w:val="0"/>
          <w:divBdr>
            <w:top w:val="none" w:sz="0" w:space="0" w:color="auto"/>
            <w:left w:val="none" w:sz="0" w:space="0" w:color="auto"/>
            <w:bottom w:val="none" w:sz="0" w:space="0" w:color="auto"/>
            <w:right w:val="none" w:sz="0" w:space="0" w:color="auto"/>
          </w:divBdr>
        </w:div>
        <w:div w:id="56902453">
          <w:marLeft w:val="0"/>
          <w:marRight w:val="0"/>
          <w:marTop w:val="0"/>
          <w:marBottom w:val="0"/>
          <w:divBdr>
            <w:top w:val="none" w:sz="0" w:space="0" w:color="auto"/>
            <w:left w:val="none" w:sz="0" w:space="0" w:color="auto"/>
            <w:bottom w:val="none" w:sz="0" w:space="0" w:color="auto"/>
            <w:right w:val="none" w:sz="0" w:space="0" w:color="auto"/>
          </w:divBdr>
        </w:div>
        <w:div w:id="115678343">
          <w:marLeft w:val="0"/>
          <w:marRight w:val="0"/>
          <w:marTop w:val="0"/>
          <w:marBottom w:val="0"/>
          <w:divBdr>
            <w:top w:val="none" w:sz="0" w:space="0" w:color="auto"/>
            <w:left w:val="none" w:sz="0" w:space="0" w:color="auto"/>
            <w:bottom w:val="none" w:sz="0" w:space="0" w:color="auto"/>
            <w:right w:val="none" w:sz="0" w:space="0" w:color="auto"/>
          </w:divBdr>
        </w:div>
        <w:div w:id="291599342">
          <w:marLeft w:val="0"/>
          <w:marRight w:val="0"/>
          <w:marTop w:val="0"/>
          <w:marBottom w:val="0"/>
          <w:divBdr>
            <w:top w:val="none" w:sz="0" w:space="0" w:color="auto"/>
            <w:left w:val="none" w:sz="0" w:space="0" w:color="auto"/>
            <w:bottom w:val="none" w:sz="0" w:space="0" w:color="auto"/>
            <w:right w:val="none" w:sz="0" w:space="0" w:color="auto"/>
          </w:divBdr>
        </w:div>
        <w:div w:id="314723421">
          <w:marLeft w:val="0"/>
          <w:marRight w:val="0"/>
          <w:marTop w:val="0"/>
          <w:marBottom w:val="0"/>
          <w:divBdr>
            <w:top w:val="none" w:sz="0" w:space="0" w:color="auto"/>
            <w:left w:val="none" w:sz="0" w:space="0" w:color="auto"/>
            <w:bottom w:val="none" w:sz="0" w:space="0" w:color="auto"/>
            <w:right w:val="none" w:sz="0" w:space="0" w:color="auto"/>
          </w:divBdr>
        </w:div>
        <w:div w:id="345326141">
          <w:marLeft w:val="0"/>
          <w:marRight w:val="0"/>
          <w:marTop w:val="0"/>
          <w:marBottom w:val="0"/>
          <w:divBdr>
            <w:top w:val="none" w:sz="0" w:space="0" w:color="auto"/>
            <w:left w:val="none" w:sz="0" w:space="0" w:color="auto"/>
            <w:bottom w:val="none" w:sz="0" w:space="0" w:color="auto"/>
            <w:right w:val="none" w:sz="0" w:space="0" w:color="auto"/>
          </w:divBdr>
        </w:div>
        <w:div w:id="361711812">
          <w:marLeft w:val="0"/>
          <w:marRight w:val="0"/>
          <w:marTop w:val="0"/>
          <w:marBottom w:val="0"/>
          <w:divBdr>
            <w:top w:val="none" w:sz="0" w:space="0" w:color="auto"/>
            <w:left w:val="none" w:sz="0" w:space="0" w:color="auto"/>
            <w:bottom w:val="none" w:sz="0" w:space="0" w:color="auto"/>
            <w:right w:val="none" w:sz="0" w:space="0" w:color="auto"/>
          </w:divBdr>
        </w:div>
        <w:div w:id="367603891">
          <w:marLeft w:val="0"/>
          <w:marRight w:val="0"/>
          <w:marTop w:val="0"/>
          <w:marBottom w:val="0"/>
          <w:divBdr>
            <w:top w:val="none" w:sz="0" w:space="0" w:color="auto"/>
            <w:left w:val="none" w:sz="0" w:space="0" w:color="auto"/>
            <w:bottom w:val="none" w:sz="0" w:space="0" w:color="auto"/>
            <w:right w:val="none" w:sz="0" w:space="0" w:color="auto"/>
          </w:divBdr>
        </w:div>
        <w:div w:id="387338564">
          <w:marLeft w:val="0"/>
          <w:marRight w:val="0"/>
          <w:marTop w:val="0"/>
          <w:marBottom w:val="0"/>
          <w:divBdr>
            <w:top w:val="none" w:sz="0" w:space="0" w:color="auto"/>
            <w:left w:val="none" w:sz="0" w:space="0" w:color="auto"/>
            <w:bottom w:val="none" w:sz="0" w:space="0" w:color="auto"/>
            <w:right w:val="none" w:sz="0" w:space="0" w:color="auto"/>
          </w:divBdr>
        </w:div>
        <w:div w:id="404769280">
          <w:marLeft w:val="0"/>
          <w:marRight w:val="0"/>
          <w:marTop w:val="0"/>
          <w:marBottom w:val="0"/>
          <w:divBdr>
            <w:top w:val="none" w:sz="0" w:space="0" w:color="auto"/>
            <w:left w:val="none" w:sz="0" w:space="0" w:color="auto"/>
            <w:bottom w:val="none" w:sz="0" w:space="0" w:color="auto"/>
            <w:right w:val="none" w:sz="0" w:space="0" w:color="auto"/>
          </w:divBdr>
        </w:div>
        <w:div w:id="410278069">
          <w:marLeft w:val="0"/>
          <w:marRight w:val="0"/>
          <w:marTop w:val="0"/>
          <w:marBottom w:val="0"/>
          <w:divBdr>
            <w:top w:val="none" w:sz="0" w:space="0" w:color="auto"/>
            <w:left w:val="none" w:sz="0" w:space="0" w:color="auto"/>
            <w:bottom w:val="none" w:sz="0" w:space="0" w:color="auto"/>
            <w:right w:val="none" w:sz="0" w:space="0" w:color="auto"/>
          </w:divBdr>
        </w:div>
        <w:div w:id="414205511">
          <w:marLeft w:val="0"/>
          <w:marRight w:val="0"/>
          <w:marTop w:val="0"/>
          <w:marBottom w:val="0"/>
          <w:divBdr>
            <w:top w:val="none" w:sz="0" w:space="0" w:color="auto"/>
            <w:left w:val="none" w:sz="0" w:space="0" w:color="auto"/>
            <w:bottom w:val="none" w:sz="0" w:space="0" w:color="auto"/>
            <w:right w:val="none" w:sz="0" w:space="0" w:color="auto"/>
          </w:divBdr>
        </w:div>
        <w:div w:id="415398188">
          <w:marLeft w:val="0"/>
          <w:marRight w:val="0"/>
          <w:marTop w:val="0"/>
          <w:marBottom w:val="0"/>
          <w:divBdr>
            <w:top w:val="none" w:sz="0" w:space="0" w:color="auto"/>
            <w:left w:val="none" w:sz="0" w:space="0" w:color="auto"/>
            <w:bottom w:val="none" w:sz="0" w:space="0" w:color="auto"/>
            <w:right w:val="none" w:sz="0" w:space="0" w:color="auto"/>
          </w:divBdr>
        </w:div>
        <w:div w:id="443041227">
          <w:marLeft w:val="0"/>
          <w:marRight w:val="0"/>
          <w:marTop w:val="0"/>
          <w:marBottom w:val="0"/>
          <w:divBdr>
            <w:top w:val="none" w:sz="0" w:space="0" w:color="auto"/>
            <w:left w:val="none" w:sz="0" w:space="0" w:color="auto"/>
            <w:bottom w:val="none" w:sz="0" w:space="0" w:color="auto"/>
            <w:right w:val="none" w:sz="0" w:space="0" w:color="auto"/>
          </w:divBdr>
        </w:div>
        <w:div w:id="457531327">
          <w:marLeft w:val="0"/>
          <w:marRight w:val="0"/>
          <w:marTop w:val="0"/>
          <w:marBottom w:val="0"/>
          <w:divBdr>
            <w:top w:val="none" w:sz="0" w:space="0" w:color="auto"/>
            <w:left w:val="none" w:sz="0" w:space="0" w:color="auto"/>
            <w:bottom w:val="none" w:sz="0" w:space="0" w:color="auto"/>
            <w:right w:val="none" w:sz="0" w:space="0" w:color="auto"/>
          </w:divBdr>
        </w:div>
        <w:div w:id="490486843">
          <w:marLeft w:val="0"/>
          <w:marRight w:val="0"/>
          <w:marTop w:val="0"/>
          <w:marBottom w:val="0"/>
          <w:divBdr>
            <w:top w:val="none" w:sz="0" w:space="0" w:color="auto"/>
            <w:left w:val="none" w:sz="0" w:space="0" w:color="auto"/>
            <w:bottom w:val="none" w:sz="0" w:space="0" w:color="auto"/>
            <w:right w:val="none" w:sz="0" w:space="0" w:color="auto"/>
          </w:divBdr>
        </w:div>
        <w:div w:id="498735041">
          <w:marLeft w:val="0"/>
          <w:marRight w:val="0"/>
          <w:marTop w:val="0"/>
          <w:marBottom w:val="0"/>
          <w:divBdr>
            <w:top w:val="none" w:sz="0" w:space="0" w:color="auto"/>
            <w:left w:val="none" w:sz="0" w:space="0" w:color="auto"/>
            <w:bottom w:val="none" w:sz="0" w:space="0" w:color="auto"/>
            <w:right w:val="none" w:sz="0" w:space="0" w:color="auto"/>
          </w:divBdr>
        </w:div>
        <w:div w:id="557787723">
          <w:marLeft w:val="0"/>
          <w:marRight w:val="0"/>
          <w:marTop w:val="0"/>
          <w:marBottom w:val="0"/>
          <w:divBdr>
            <w:top w:val="none" w:sz="0" w:space="0" w:color="auto"/>
            <w:left w:val="none" w:sz="0" w:space="0" w:color="auto"/>
            <w:bottom w:val="none" w:sz="0" w:space="0" w:color="auto"/>
            <w:right w:val="none" w:sz="0" w:space="0" w:color="auto"/>
          </w:divBdr>
        </w:div>
        <w:div w:id="609123003">
          <w:marLeft w:val="0"/>
          <w:marRight w:val="0"/>
          <w:marTop w:val="0"/>
          <w:marBottom w:val="0"/>
          <w:divBdr>
            <w:top w:val="none" w:sz="0" w:space="0" w:color="auto"/>
            <w:left w:val="none" w:sz="0" w:space="0" w:color="auto"/>
            <w:bottom w:val="none" w:sz="0" w:space="0" w:color="auto"/>
            <w:right w:val="none" w:sz="0" w:space="0" w:color="auto"/>
          </w:divBdr>
        </w:div>
        <w:div w:id="611789721">
          <w:marLeft w:val="0"/>
          <w:marRight w:val="0"/>
          <w:marTop w:val="0"/>
          <w:marBottom w:val="0"/>
          <w:divBdr>
            <w:top w:val="none" w:sz="0" w:space="0" w:color="auto"/>
            <w:left w:val="none" w:sz="0" w:space="0" w:color="auto"/>
            <w:bottom w:val="none" w:sz="0" w:space="0" w:color="auto"/>
            <w:right w:val="none" w:sz="0" w:space="0" w:color="auto"/>
          </w:divBdr>
        </w:div>
        <w:div w:id="616328090">
          <w:marLeft w:val="0"/>
          <w:marRight w:val="0"/>
          <w:marTop w:val="0"/>
          <w:marBottom w:val="0"/>
          <w:divBdr>
            <w:top w:val="none" w:sz="0" w:space="0" w:color="auto"/>
            <w:left w:val="none" w:sz="0" w:space="0" w:color="auto"/>
            <w:bottom w:val="none" w:sz="0" w:space="0" w:color="auto"/>
            <w:right w:val="none" w:sz="0" w:space="0" w:color="auto"/>
          </w:divBdr>
        </w:div>
        <w:div w:id="631401570">
          <w:marLeft w:val="0"/>
          <w:marRight w:val="0"/>
          <w:marTop w:val="0"/>
          <w:marBottom w:val="0"/>
          <w:divBdr>
            <w:top w:val="none" w:sz="0" w:space="0" w:color="auto"/>
            <w:left w:val="none" w:sz="0" w:space="0" w:color="auto"/>
            <w:bottom w:val="none" w:sz="0" w:space="0" w:color="auto"/>
            <w:right w:val="none" w:sz="0" w:space="0" w:color="auto"/>
          </w:divBdr>
        </w:div>
        <w:div w:id="631521778">
          <w:marLeft w:val="0"/>
          <w:marRight w:val="0"/>
          <w:marTop w:val="0"/>
          <w:marBottom w:val="0"/>
          <w:divBdr>
            <w:top w:val="none" w:sz="0" w:space="0" w:color="auto"/>
            <w:left w:val="none" w:sz="0" w:space="0" w:color="auto"/>
            <w:bottom w:val="none" w:sz="0" w:space="0" w:color="auto"/>
            <w:right w:val="none" w:sz="0" w:space="0" w:color="auto"/>
          </w:divBdr>
        </w:div>
        <w:div w:id="692192504">
          <w:marLeft w:val="0"/>
          <w:marRight w:val="0"/>
          <w:marTop w:val="0"/>
          <w:marBottom w:val="0"/>
          <w:divBdr>
            <w:top w:val="none" w:sz="0" w:space="0" w:color="auto"/>
            <w:left w:val="none" w:sz="0" w:space="0" w:color="auto"/>
            <w:bottom w:val="none" w:sz="0" w:space="0" w:color="auto"/>
            <w:right w:val="none" w:sz="0" w:space="0" w:color="auto"/>
          </w:divBdr>
        </w:div>
        <w:div w:id="702680611">
          <w:marLeft w:val="0"/>
          <w:marRight w:val="0"/>
          <w:marTop w:val="0"/>
          <w:marBottom w:val="0"/>
          <w:divBdr>
            <w:top w:val="none" w:sz="0" w:space="0" w:color="auto"/>
            <w:left w:val="none" w:sz="0" w:space="0" w:color="auto"/>
            <w:bottom w:val="none" w:sz="0" w:space="0" w:color="auto"/>
            <w:right w:val="none" w:sz="0" w:space="0" w:color="auto"/>
          </w:divBdr>
        </w:div>
        <w:div w:id="747271903">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813906989">
          <w:marLeft w:val="0"/>
          <w:marRight w:val="0"/>
          <w:marTop w:val="0"/>
          <w:marBottom w:val="0"/>
          <w:divBdr>
            <w:top w:val="none" w:sz="0" w:space="0" w:color="auto"/>
            <w:left w:val="none" w:sz="0" w:space="0" w:color="auto"/>
            <w:bottom w:val="none" w:sz="0" w:space="0" w:color="auto"/>
            <w:right w:val="none" w:sz="0" w:space="0" w:color="auto"/>
          </w:divBdr>
        </w:div>
        <w:div w:id="879785811">
          <w:marLeft w:val="0"/>
          <w:marRight w:val="0"/>
          <w:marTop w:val="0"/>
          <w:marBottom w:val="0"/>
          <w:divBdr>
            <w:top w:val="none" w:sz="0" w:space="0" w:color="auto"/>
            <w:left w:val="none" w:sz="0" w:space="0" w:color="auto"/>
            <w:bottom w:val="none" w:sz="0" w:space="0" w:color="auto"/>
            <w:right w:val="none" w:sz="0" w:space="0" w:color="auto"/>
          </w:divBdr>
        </w:div>
        <w:div w:id="985010083">
          <w:marLeft w:val="0"/>
          <w:marRight w:val="0"/>
          <w:marTop w:val="0"/>
          <w:marBottom w:val="0"/>
          <w:divBdr>
            <w:top w:val="none" w:sz="0" w:space="0" w:color="auto"/>
            <w:left w:val="none" w:sz="0" w:space="0" w:color="auto"/>
            <w:bottom w:val="none" w:sz="0" w:space="0" w:color="auto"/>
            <w:right w:val="none" w:sz="0" w:space="0" w:color="auto"/>
          </w:divBdr>
        </w:div>
        <w:div w:id="1034883398">
          <w:marLeft w:val="0"/>
          <w:marRight w:val="0"/>
          <w:marTop w:val="0"/>
          <w:marBottom w:val="0"/>
          <w:divBdr>
            <w:top w:val="none" w:sz="0" w:space="0" w:color="auto"/>
            <w:left w:val="none" w:sz="0" w:space="0" w:color="auto"/>
            <w:bottom w:val="none" w:sz="0" w:space="0" w:color="auto"/>
            <w:right w:val="none" w:sz="0" w:space="0" w:color="auto"/>
          </w:divBdr>
        </w:div>
        <w:div w:id="1056394849">
          <w:marLeft w:val="0"/>
          <w:marRight w:val="0"/>
          <w:marTop w:val="0"/>
          <w:marBottom w:val="0"/>
          <w:divBdr>
            <w:top w:val="none" w:sz="0" w:space="0" w:color="auto"/>
            <w:left w:val="none" w:sz="0" w:space="0" w:color="auto"/>
            <w:bottom w:val="none" w:sz="0" w:space="0" w:color="auto"/>
            <w:right w:val="none" w:sz="0" w:space="0" w:color="auto"/>
          </w:divBdr>
        </w:div>
        <w:div w:id="1058088999">
          <w:marLeft w:val="0"/>
          <w:marRight w:val="0"/>
          <w:marTop w:val="0"/>
          <w:marBottom w:val="0"/>
          <w:divBdr>
            <w:top w:val="none" w:sz="0" w:space="0" w:color="auto"/>
            <w:left w:val="none" w:sz="0" w:space="0" w:color="auto"/>
            <w:bottom w:val="none" w:sz="0" w:space="0" w:color="auto"/>
            <w:right w:val="none" w:sz="0" w:space="0" w:color="auto"/>
          </w:divBdr>
        </w:div>
        <w:div w:id="1096710080">
          <w:marLeft w:val="0"/>
          <w:marRight w:val="0"/>
          <w:marTop w:val="0"/>
          <w:marBottom w:val="0"/>
          <w:divBdr>
            <w:top w:val="none" w:sz="0" w:space="0" w:color="auto"/>
            <w:left w:val="none" w:sz="0" w:space="0" w:color="auto"/>
            <w:bottom w:val="none" w:sz="0" w:space="0" w:color="auto"/>
            <w:right w:val="none" w:sz="0" w:space="0" w:color="auto"/>
          </w:divBdr>
        </w:div>
        <w:div w:id="1104229601">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231618331">
          <w:marLeft w:val="0"/>
          <w:marRight w:val="0"/>
          <w:marTop w:val="0"/>
          <w:marBottom w:val="0"/>
          <w:divBdr>
            <w:top w:val="none" w:sz="0" w:space="0" w:color="auto"/>
            <w:left w:val="none" w:sz="0" w:space="0" w:color="auto"/>
            <w:bottom w:val="none" w:sz="0" w:space="0" w:color="auto"/>
            <w:right w:val="none" w:sz="0" w:space="0" w:color="auto"/>
          </w:divBdr>
        </w:div>
        <w:div w:id="1235627883">
          <w:marLeft w:val="0"/>
          <w:marRight w:val="0"/>
          <w:marTop w:val="0"/>
          <w:marBottom w:val="0"/>
          <w:divBdr>
            <w:top w:val="none" w:sz="0" w:space="0" w:color="auto"/>
            <w:left w:val="none" w:sz="0" w:space="0" w:color="auto"/>
            <w:bottom w:val="none" w:sz="0" w:space="0" w:color="auto"/>
            <w:right w:val="none" w:sz="0" w:space="0" w:color="auto"/>
          </w:divBdr>
        </w:div>
        <w:div w:id="1277982791">
          <w:marLeft w:val="0"/>
          <w:marRight w:val="0"/>
          <w:marTop w:val="0"/>
          <w:marBottom w:val="0"/>
          <w:divBdr>
            <w:top w:val="none" w:sz="0" w:space="0" w:color="auto"/>
            <w:left w:val="none" w:sz="0" w:space="0" w:color="auto"/>
            <w:bottom w:val="none" w:sz="0" w:space="0" w:color="auto"/>
            <w:right w:val="none" w:sz="0" w:space="0" w:color="auto"/>
          </w:divBdr>
        </w:div>
        <w:div w:id="1305965675">
          <w:marLeft w:val="0"/>
          <w:marRight w:val="0"/>
          <w:marTop w:val="0"/>
          <w:marBottom w:val="0"/>
          <w:divBdr>
            <w:top w:val="none" w:sz="0" w:space="0" w:color="auto"/>
            <w:left w:val="none" w:sz="0" w:space="0" w:color="auto"/>
            <w:bottom w:val="none" w:sz="0" w:space="0" w:color="auto"/>
            <w:right w:val="none" w:sz="0" w:space="0" w:color="auto"/>
          </w:divBdr>
        </w:div>
        <w:div w:id="1320306244">
          <w:marLeft w:val="0"/>
          <w:marRight w:val="0"/>
          <w:marTop w:val="0"/>
          <w:marBottom w:val="0"/>
          <w:divBdr>
            <w:top w:val="none" w:sz="0" w:space="0" w:color="auto"/>
            <w:left w:val="none" w:sz="0" w:space="0" w:color="auto"/>
            <w:bottom w:val="none" w:sz="0" w:space="0" w:color="auto"/>
            <w:right w:val="none" w:sz="0" w:space="0" w:color="auto"/>
          </w:divBdr>
        </w:div>
        <w:div w:id="1362170969">
          <w:marLeft w:val="0"/>
          <w:marRight w:val="0"/>
          <w:marTop w:val="0"/>
          <w:marBottom w:val="0"/>
          <w:divBdr>
            <w:top w:val="none" w:sz="0" w:space="0" w:color="auto"/>
            <w:left w:val="none" w:sz="0" w:space="0" w:color="auto"/>
            <w:bottom w:val="none" w:sz="0" w:space="0" w:color="auto"/>
            <w:right w:val="none" w:sz="0" w:space="0" w:color="auto"/>
          </w:divBdr>
        </w:div>
        <w:div w:id="1549075448">
          <w:marLeft w:val="0"/>
          <w:marRight w:val="0"/>
          <w:marTop w:val="0"/>
          <w:marBottom w:val="0"/>
          <w:divBdr>
            <w:top w:val="none" w:sz="0" w:space="0" w:color="auto"/>
            <w:left w:val="none" w:sz="0" w:space="0" w:color="auto"/>
            <w:bottom w:val="none" w:sz="0" w:space="0" w:color="auto"/>
            <w:right w:val="none" w:sz="0" w:space="0" w:color="auto"/>
          </w:divBdr>
        </w:div>
        <w:div w:id="1549143418">
          <w:marLeft w:val="0"/>
          <w:marRight w:val="0"/>
          <w:marTop w:val="0"/>
          <w:marBottom w:val="0"/>
          <w:divBdr>
            <w:top w:val="none" w:sz="0" w:space="0" w:color="auto"/>
            <w:left w:val="none" w:sz="0" w:space="0" w:color="auto"/>
            <w:bottom w:val="none" w:sz="0" w:space="0" w:color="auto"/>
            <w:right w:val="none" w:sz="0" w:space="0" w:color="auto"/>
          </w:divBdr>
        </w:div>
        <w:div w:id="1551262033">
          <w:marLeft w:val="0"/>
          <w:marRight w:val="0"/>
          <w:marTop w:val="0"/>
          <w:marBottom w:val="0"/>
          <w:divBdr>
            <w:top w:val="none" w:sz="0" w:space="0" w:color="auto"/>
            <w:left w:val="none" w:sz="0" w:space="0" w:color="auto"/>
            <w:bottom w:val="none" w:sz="0" w:space="0" w:color="auto"/>
            <w:right w:val="none" w:sz="0" w:space="0" w:color="auto"/>
          </w:divBdr>
        </w:div>
        <w:div w:id="1653555830">
          <w:marLeft w:val="0"/>
          <w:marRight w:val="0"/>
          <w:marTop w:val="0"/>
          <w:marBottom w:val="0"/>
          <w:divBdr>
            <w:top w:val="none" w:sz="0" w:space="0" w:color="auto"/>
            <w:left w:val="none" w:sz="0" w:space="0" w:color="auto"/>
            <w:bottom w:val="none" w:sz="0" w:space="0" w:color="auto"/>
            <w:right w:val="none" w:sz="0" w:space="0" w:color="auto"/>
          </w:divBdr>
        </w:div>
        <w:div w:id="1684866457">
          <w:marLeft w:val="0"/>
          <w:marRight w:val="0"/>
          <w:marTop w:val="0"/>
          <w:marBottom w:val="0"/>
          <w:divBdr>
            <w:top w:val="none" w:sz="0" w:space="0" w:color="auto"/>
            <w:left w:val="none" w:sz="0" w:space="0" w:color="auto"/>
            <w:bottom w:val="none" w:sz="0" w:space="0" w:color="auto"/>
            <w:right w:val="none" w:sz="0" w:space="0" w:color="auto"/>
          </w:divBdr>
        </w:div>
        <w:div w:id="1685742158">
          <w:marLeft w:val="0"/>
          <w:marRight w:val="0"/>
          <w:marTop w:val="0"/>
          <w:marBottom w:val="0"/>
          <w:divBdr>
            <w:top w:val="none" w:sz="0" w:space="0" w:color="auto"/>
            <w:left w:val="none" w:sz="0" w:space="0" w:color="auto"/>
            <w:bottom w:val="none" w:sz="0" w:space="0" w:color="auto"/>
            <w:right w:val="none" w:sz="0" w:space="0" w:color="auto"/>
          </w:divBdr>
        </w:div>
        <w:div w:id="1712220522">
          <w:marLeft w:val="0"/>
          <w:marRight w:val="0"/>
          <w:marTop w:val="0"/>
          <w:marBottom w:val="0"/>
          <w:divBdr>
            <w:top w:val="none" w:sz="0" w:space="0" w:color="auto"/>
            <w:left w:val="none" w:sz="0" w:space="0" w:color="auto"/>
            <w:bottom w:val="none" w:sz="0" w:space="0" w:color="auto"/>
            <w:right w:val="none" w:sz="0" w:space="0" w:color="auto"/>
          </w:divBdr>
        </w:div>
        <w:div w:id="1738086653">
          <w:marLeft w:val="0"/>
          <w:marRight w:val="0"/>
          <w:marTop w:val="0"/>
          <w:marBottom w:val="0"/>
          <w:divBdr>
            <w:top w:val="none" w:sz="0" w:space="0" w:color="auto"/>
            <w:left w:val="none" w:sz="0" w:space="0" w:color="auto"/>
            <w:bottom w:val="none" w:sz="0" w:space="0" w:color="auto"/>
            <w:right w:val="none" w:sz="0" w:space="0" w:color="auto"/>
          </w:divBdr>
        </w:div>
        <w:div w:id="1749375969">
          <w:marLeft w:val="0"/>
          <w:marRight w:val="0"/>
          <w:marTop w:val="0"/>
          <w:marBottom w:val="0"/>
          <w:divBdr>
            <w:top w:val="none" w:sz="0" w:space="0" w:color="auto"/>
            <w:left w:val="none" w:sz="0" w:space="0" w:color="auto"/>
            <w:bottom w:val="none" w:sz="0" w:space="0" w:color="auto"/>
            <w:right w:val="none" w:sz="0" w:space="0" w:color="auto"/>
          </w:divBdr>
        </w:div>
        <w:div w:id="1837305043">
          <w:marLeft w:val="0"/>
          <w:marRight w:val="0"/>
          <w:marTop w:val="0"/>
          <w:marBottom w:val="0"/>
          <w:divBdr>
            <w:top w:val="none" w:sz="0" w:space="0" w:color="auto"/>
            <w:left w:val="none" w:sz="0" w:space="0" w:color="auto"/>
            <w:bottom w:val="none" w:sz="0" w:space="0" w:color="auto"/>
            <w:right w:val="none" w:sz="0" w:space="0" w:color="auto"/>
          </w:divBdr>
        </w:div>
        <w:div w:id="1930459279">
          <w:marLeft w:val="0"/>
          <w:marRight w:val="0"/>
          <w:marTop w:val="0"/>
          <w:marBottom w:val="0"/>
          <w:divBdr>
            <w:top w:val="none" w:sz="0" w:space="0" w:color="auto"/>
            <w:left w:val="none" w:sz="0" w:space="0" w:color="auto"/>
            <w:bottom w:val="none" w:sz="0" w:space="0" w:color="auto"/>
            <w:right w:val="none" w:sz="0" w:space="0" w:color="auto"/>
          </w:divBdr>
        </w:div>
        <w:div w:id="1965697192">
          <w:marLeft w:val="0"/>
          <w:marRight w:val="0"/>
          <w:marTop w:val="0"/>
          <w:marBottom w:val="0"/>
          <w:divBdr>
            <w:top w:val="none" w:sz="0" w:space="0" w:color="auto"/>
            <w:left w:val="none" w:sz="0" w:space="0" w:color="auto"/>
            <w:bottom w:val="none" w:sz="0" w:space="0" w:color="auto"/>
            <w:right w:val="none" w:sz="0" w:space="0" w:color="auto"/>
          </w:divBdr>
        </w:div>
        <w:div w:id="2020808863">
          <w:marLeft w:val="0"/>
          <w:marRight w:val="0"/>
          <w:marTop w:val="0"/>
          <w:marBottom w:val="0"/>
          <w:divBdr>
            <w:top w:val="none" w:sz="0" w:space="0" w:color="auto"/>
            <w:left w:val="none" w:sz="0" w:space="0" w:color="auto"/>
            <w:bottom w:val="none" w:sz="0" w:space="0" w:color="auto"/>
            <w:right w:val="none" w:sz="0" w:space="0" w:color="auto"/>
          </w:divBdr>
        </w:div>
        <w:div w:id="2050911117">
          <w:marLeft w:val="0"/>
          <w:marRight w:val="0"/>
          <w:marTop w:val="0"/>
          <w:marBottom w:val="0"/>
          <w:divBdr>
            <w:top w:val="none" w:sz="0" w:space="0" w:color="auto"/>
            <w:left w:val="none" w:sz="0" w:space="0" w:color="auto"/>
            <w:bottom w:val="none" w:sz="0" w:space="0" w:color="auto"/>
            <w:right w:val="none" w:sz="0" w:space="0" w:color="auto"/>
          </w:divBdr>
        </w:div>
        <w:div w:id="2058503047">
          <w:marLeft w:val="0"/>
          <w:marRight w:val="0"/>
          <w:marTop w:val="0"/>
          <w:marBottom w:val="0"/>
          <w:divBdr>
            <w:top w:val="none" w:sz="0" w:space="0" w:color="auto"/>
            <w:left w:val="none" w:sz="0" w:space="0" w:color="auto"/>
            <w:bottom w:val="none" w:sz="0" w:space="0" w:color="auto"/>
            <w:right w:val="none" w:sz="0" w:space="0" w:color="auto"/>
          </w:divBdr>
        </w:div>
        <w:div w:id="2083983618">
          <w:marLeft w:val="0"/>
          <w:marRight w:val="0"/>
          <w:marTop w:val="0"/>
          <w:marBottom w:val="0"/>
          <w:divBdr>
            <w:top w:val="none" w:sz="0" w:space="0" w:color="auto"/>
            <w:left w:val="none" w:sz="0" w:space="0" w:color="auto"/>
            <w:bottom w:val="none" w:sz="0" w:space="0" w:color="auto"/>
            <w:right w:val="none" w:sz="0" w:space="0" w:color="auto"/>
          </w:divBdr>
        </w:div>
        <w:div w:id="2100177453">
          <w:marLeft w:val="0"/>
          <w:marRight w:val="0"/>
          <w:marTop w:val="0"/>
          <w:marBottom w:val="0"/>
          <w:divBdr>
            <w:top w:val="none" w:sz="0" w:space="0" w:color="auto"/>
            <w:left w:val="none" w:sz="0" w:space="0" w:color="auto"/>
            <w:bottom w:val="none" w:sz="0" w:space="0" w:color="auto"/>
            <w:right w:val="none" w:sz="0" w:space="0" w:color="auto"/>
          </w:divBdr>
        </w:div>
        <w:div w:id="2110543138">
          <w:marLeft w:val="0"/>
          <w:marRight w:val="0"/>
          <w:marTop w:val="0"/>
          <w:marBottom w:val="0"/>
          <w:divBdr>
            <w:top w:val="none" w:sz="0" w:space="0" w:color="auto"/>
            <w:left w:val="none" w:sz="0" w:space="0" w:color="auto"/>
            <w:bottom w:val="none" w:sz="0" w:space="0" w:color="auto"/>
            <w:right w:val="none" w:sz="0" w:space="0" w:color="auto"/>
          </w:divBdr>
        </w:div>
      </w:divsChild>
    </w:div>
    <w:div w:id="330760233">
      <w:bodyDiv w:val="1"/>
      <w:marLeft w:val="0"/>
      <w:marRight w:val="0"/>
      <w:marTop w:val="0"/>
      <w:marBottom w:val="0"/>
      <w:divBdr>
        <w:top w:val="none" w:sz="0" w:space="0" w:color="auto"/>
        <w:left w:val="none" w:sz="0" w:space="0" w:color="auto"/>
        <w:bottom w:val="none" w:sz="0" w:space="0" w:color="auto"/>
        <w:right w:val="none" w:sz="0" w:space="0" w:color="auto"/>
      </w:divBdr>
    </w:div>
    <w:div w:id="343900045">
      <w:bodyDiv w:val="1"/>
      <w:marLeft w:val="0"/>
      <w:marRight w:val="0"/>
      <w:marTop w:val="0"/>
      <w:marBottom w:val="0"/>
      <w:divBdr>
        <w:top w:val="none" w:sz="0" w:space="0" w:color="auto"/>
        <w:left w:val="none" w:sz="0" w:space="0" w:color="auto"/>
        <w:bottom w:val="none" w:sz="0" w:space="0" w:color="auto"/>
        <w:right w:val="none" w:sz="0" w:space="0" w:color="auto"/>
      </w:divBdr>
    </w:div>
    <w:div w:id="366834122">
      <w:bodyDiv w:val="1"/>
      <w:marLeft w:val="0"/>
      <w:marRight w:val="0"/>
      <w:marTop w:val="0"/>
      <w:marBottom w:val="0"/>
      <w:divBdr>
        <w:top w:val="none" w:sz="0" w:space="0" w:color="auto"/>
        <w:left w:val="none" w:sz="0" w:space="0" w:color="auto"/>
        <w:bottom w:val="none" w:sz="0" w:space="0" w:color="auto"/>
        <w:right w:val="none" w:sz="0" w:space="0" w:color="auto"/>
      </w:divBdr>
      <w:divsChild>
        <w:div w:id="314526612">
          <w:marLeft w:val="0"/>
          <w:marRight w:val="0"/>
          <w:marTop w:val="0"/>
          <w:marBottom w:val="0"/>
          <w:divBdr>
            <w:top w:val="none" w:sz="0" w:space="0" w:color="auto"/>
            <w:left w:val="none" w:sz="0" w:space="0" w:color="auto"/>
            <w:bottom w:val="none" w:sz="0" w:space="0" w:color="auto"/>
            <w:right w:val="none" w:sz="0" w:space="0" w:color="auto"/>
          </w:divBdr>
        </w:div>
      </w:divsChild>
    </w:div>
    <w:div w:id="369456197">
      <w:bodyDiv w:val="1"/>
      <w:marLeft w:val="0"/>
      <w:marRight w:val="0"/>
      <w:marTop w:val="0"/>
      <w:marBottom w:val="0"/>
      <w:divBdr>
        <w:top w:val="none" w:sz="0" w:space="0" w:color="auto"/>
        <w:left w:val="none" w:sz="0" w:space="0" w:color="auto"/>
        <w:bottom w:val="none" w:sz="0" w:space="0" w:color="auto"/>
        <w:right w:val="none" w:sz="0" w:space="0" w:color="auto"/>
      </w:divBdr>
      <w:divsChild>
        <w:div w:id="141702348">
          <w:marLeft w:val="0"/>
          <w:marRight w:val="0"/>
          <w:marTop w:val="0"/>
          <w:marBottom w:val="0"/>
          <w:divBdr>
            <w:top w:val="none" w:sz="0" w:space="0" w:color="auto"/>
            <w:left w:val="none" w:sz="0" w:space="0" w:color="auto"/>
            <w:bottom w:val="none" w:sz="0" w:space="0" w:color="auto"/>
            <w:right w:val="none" w:sz="0" w:space="0" w:color="auto"/>
          </w:divBdr>
        </w:div>
        <w:div w:id="234053489">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383255141">
          <w:marLeft w:val="0"/>
          <w:marRight w:val="0"/>
          <w:marTop w:val="0"/>
          <w:marBottom w:val="0"/>
          <w:divBdr>
            <w:top w:val="none" w:sz="0" w:space="0" w:color="auto"/>
            <w:left w:val="none" w:sz="0" w:space="0" w:color="auto"/>
            <w:bottom w:val="none" w:sz="0" w:space="0" w:color="auto"/>
            <w:right w:val="none" w:sz="0" w:space="0" w:color="auto"/>
          </w:divBdr>
        </w:div>
        <w:div w:id="391119391">
          <w:marLeft w:val="0"/>
          <w:marRight w:val="0"/>
          <w:marTop w:val="0"/>
          <w:marBottom w:val="0"/>
          <w:divBdr>
            <w:top w:val="none" w:sz="0" w:space="0" w:color="auto"/>
            <w:left w:val="none" w:sz="0" w:space="0" w:color="auto"/>
            <w:bottom w:val="none" w:sz="0" w:space="0" w:color="auto"/>
            <w:right w:val="none" w:sz="0" w:space="0" w:color="auto"/>
          </w:divBdr>
        </w:div>
        <w:div w:id="488207059">
          <w:marLeft w:val="0"/>
          <w:marRight w:val="0"/>
          <w:marTop w:val="0"/>
          <w:marBottom w:val="0"/>
          <w:divBdr>
            <w:top w:val="none" w:sz="0" w:space="0" w:color="auto"/>
            <w:left w:val="none" w:sz="0" w:space="0" w:color="auto"/>
            <w:bottom w:val="none" w:sz="0" w:space="0" w:color="auto"/>
            <w:right w:val="none" w:sz="0" w:space="0" w:color="auto"/>
          </w:divBdr>
        </w:div>
        <w:div w:id="580332103">
          <w:marLeft w:val="0"/>
          <w:marRight w:val="0"/>
          <w:marTop w:val="0"/>
          <w:marBottom w:val="0"/>
          <w:divBdr>
            <w:top w:val="none" w:sz="0" w:space="0" w:color="auto"/>
            <w:left w:val="none" w:sz="0" w:space="0" w:color="auto"/>
            <w:bottom w:val="none" w:sz="0" w:space="0" w:color="auto"/>
            <w:right w:val="none" w:sz="0" w:space="0" w:color="auto"/>
          </w:divBdr>
        </w:div>
        <w:div w:id="616563917">
          <w:marLeft w:val="0"/>
          <w:marRight w:val="0"/>
          <w:marTop w:val="0"/>
          <w:marBottom w:val="0"/>
          <w:divBdr>
            <w:top w:val="none" w:sz="0" w:space="0" w:color="auto"/>
            <w:left w:val="none" w:sz="0" w:space="0" w:color="auto"/>
            <w:bottom w:val="none" w:sz="0" w:space="0" w:color="auto"/>
            <w:right w:val="none" w:sz="0" w:space="0" w:color="auto"/>
          </w:divBdr>
        </w:div>
        <w:div w:id="686563241">
          <w:marLeft w:val="0"/>
          <w:marRight w:val="0"/>
          <w:marTop w:val="0"/>
          <w:marBottom w:val="0"/>
          <w:divBdr>
            <w:top w:val="none" w:sz="0" w:space="0" w:color="auto"/>
            <w:left w:val="none" w:sz="0" w:space="0" w:color="auto"/>
            <w:bottom w:val="none" w:sz="0" w:space="0" w:color="auto"/>
            <w:right w:val="none" w:sz="0" w:space="0" w:color="auto"/>
          </w:divBdr>
        </w:div>
        <w:div w:id="741410187">
          <w:marLeft w:val="0"/>
          <w:marRight w:val="0"/>
          <w:marTop w:val="0"/>
          <w:marBottom w:val="0"/>
          <w:divBdr>
            <w:top w:val="none" w:sz="0" w:space="0" w:color="auto"/>
            <w:left w:val="none" w:sz="0" w:space="0" w:color="auto"/>
            <w:bottom w:val="none" w:sz="0" w:space="0" w:color="auto"/>
            <w:right w:val="none" w:sz="0" w:space="0" w:color="auto"/>
          </w:divBdr>
        </w:div>
        <w:div w:id="780027328">
          <w:marLeft w:val="0"/>
          <w:marRight w:val="0"/>
          <w:marTop w:val="0"/>
          <w:marBottom w:val="0"/>
          <w:divBdr>
            <w:top w:val="none" w:sz="0" w:space="0" w:color="auto"/>
            <w:left w:val="none" w:sz="0" w:space="0" w:color="auto"/>
            <w:bottom w:val="none" w:sz="0" w:space="0" w:color="auto"/>
            <w:right w:val="none" w:sz="0" w:space="0" w:color="auto"/>
          </w:divBdr>
        </w:div>
        <w:div w:id="879977185">
          <w:marLeft w:val="0"/>
          <w:marRight w:val="0"/>
          <w:marTop w:val="0"/>
          <w:marBottom w:val="0"/>
          <w:divBdr>
            <w:top w:val="none" w:sz="0" w:space="0" w:color="auto"/>
            <w:left w:val="none" w:sz="0" w:space="0" w:color="auto"/>
            <w:bottom w:val="none" w:sz="0" w:space="0" w:color="auto"/>
            <w:right w:val="none" w:sz="0" w:space="0" w:color="auto"/>
          </w:divBdr>
        </w:div>
        <w:div w:id="1301038726">
          <w:marLeft w:val="0"/>
          <w:marRight w:val="0"/>
          <w:marTop w:val="0"/>
          <w:marBottom w:val="0"/>
          <w:divBdr>
            <w:top w:val="none" w:sz="0" w:space="0" w:color="auto"/>
            <w:left w:val="none" w:sz="0" w:space="0" w:color="auto"/>
            <w:bottom w:val="none" w:sz="0" w:space="0" w:color="auto"/>
            <w:right w:val="none" w:sz="0" w:space="0" w:color="auto"/>
          </w:divBdr>
        </w:div>
        <w:div w:id="1385372668">
          <w:marLeft w:val="0"/>
          <w:marRight w:val="0"/>
          <w:marTop w:val="0"/>
          <w:marBottom w:val="0"/>
          <w:divBdr>
            <w:top w:val="none" w:sz="0" w:space="0" w:color="auto"/>
            <w:left w:val="none" w:sz="0" w:space="0" w:color="auto"/>
            <w:bottom w:val="none" w:sz="0" w:space="0" w:color="auto"/>
            <w:right w:val="none" w:sz="0" w:space="0" w:color="auto"/>
          </w:divBdr>
        </w:div>
        <w:div w:id="1468358352">
          <w:marLeft w:val="0"/>
          <w:marRight w:val="0"/>
          <w:marTop w:val="0"/>
          <w:marBottom w:val="0"/>
          <w:divBdr>
            <w:top w:val="none" w:sz="0" w:space="0" w:color="auto"/>
            <w:left w:val="none" w:sz="0" w:space="0" w:color="auto"/>
            <w:bottom w:val="none" w:sz="0" w:space="0" w:color="auto"/>
            <w:right w:val="none" w:sz="0" w:space="0" w:color="auto"/>
          </w:divBdr>
        </w:div>
        <w:div w:id="1608610723">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1930578673">
          <w:marLeft w:val="0"/>
          <w:marRight w:val="0"/>
          <w:marTop w:val="0"/>
          <w:marBottom w:val="0"/>
          <w:divBdr>
            <w:top w:val="none" w:sz="0" w:space="0" w:color="auto"/>
            <w:left w:val="none" w:sz="0" w:space="0" w:color="auto"/>
            <w:bottom w:val="none" w:sz="0" w:space="0" w:color="auto"/>
            <w:right w:val="none" w:sz="0" w:space="0" w:color="auto"/>
          </w:divBdr>
        </w:div>
        <w:div w:id="1992516686">
          <w:marLeft w:val="0"/>
          <w:marRight w:val="0"/>
          <w:marTop w:val="0"/>
          <w:marBottom w:val="0"/>
          <w:divBdr>
            <w:top w:val="none" w:sz="0" w:space="0" w:color="auto"/>
            <w:left w:val="none" w:sz="0" w:space="0" w:color="auto"/>
            <w:bottom w:val="none" w:sz="0" w:space="0" w:color="auto"/>
            <w:right w:val="none" w:sz="0" w:space="0" w:color="auto"/>
          </w:divBdr>
        </w:div>
      </w:divsChild>
    </w:div>
    <w:div w:id="504831240">
      <w:bodyDiv w:val="1"/>
      <w:marLeft w:val="0"/>
      <w:marRight w:val="0"/>
      <w:marTop w:val="0"/>
      <w:marBottom w:val="0"/>
      <w:divBdr>
        <w:top w:val="none" w:sz="0" w:space="0" w:color="auto"/>
        <w:left w:val="none" w:sz="0" w:space="0" w:color="auto"/>
        <w:bottom w:val="none" w:sz="0" w:space="0" w:color="auto"/>
        <w:right w:val="none" w:sz="0" w:space="0" w:color="auto"/>
      </w:divBdr>
    </w:div>
    <w:div w:id="570627348">
      <w:bodyDiv w:val="1"/>
      <w:marLeft w:val="0"/>
      <w:marRight w:val="0"/>
      <w:marTop w:val="0"/>
      <w:marBottom w:val="0"/>
      <w:divBdr>
        <w:top w:val="none" w:sz="0" w:space="0" w:color="auto"/>
        <w:left w:val="none" w:sz="0" w:space="0" w:color="auto"/>
        <w:bottom w:val="none" w:sz="0" w:space="0" w:color="auto"/>
        <w:right w:val="none" w:sz="0" w:space="0" w:color="auto"/>
      </w:divBdr>
    </w:div>
    <w:div w:id="643238733">
      <w:bodyDiv w:val="1"/>
      <w:marLeft w:val="0"/>
      <w:marRight w:val="0"/>
      <w:marTop w:val="0"/>
      <w:marBottom w:val="0"/>
      <w:divBdr>
        <w:top w:val="none" w:sz="0" w:space="0" w:color="auto"/>
        <w:left w:val="none" w:sz="0" w:space="0" w:color="auto"/>
        <w:bottom w:val="none" w:sz="0" w:space="0" w:color="auto"/>
        <w:right w:val="none" w:sz="0" w:space="0" w:color="auto"/>
      </w:divBdr>
    </w:div>
    <w:div w:id="660936498">
      <w:bodyDiv w:val="1"/>
      <w:marLeft w:val="0"/>
      <w:marRight w:val="0"/>
      <w:marTop w:val="0"/>
      <w:marBottom w:val="0"/>
      <w:divBdr>
        <w:top w:val="none" w:sz="0" w:space="0" w:color="auto"/>
        <w:left w:val="none" w:sz="0" w:space="0" w:color="auto"/>
        <w:bottom w:val="none" w:sz="0" w:space="0" w:color="auto"/>
        <w:right w:val="none" w:sz="0" w:space="0" w:color="auto"/>
      </w:divBdr>
    </w:div>
    <w:div w:id="712193071">
      <w:bodyDiv w:val="1"/>
      <w:marLeft w:val="0"/>
      <w:marRight w:val="0"/>
      <w:marTop w:val="0"/>
      <w:marBottom w:val="0"/>
      <w:divBdr>
        <w:top w:val="none" w:sz="0" w:space="0" w:color="auto"/>
        <w:left w:val="none" w:sz="0" w:space="0" w:color="auto"/>
        <w:bottom w:val="none" w:sz="0" w:space="0" w:color="auto"/>
        <w:right w:val="none" w:sz="0" w:space="0" w:color="auto"/>
      </w:divBdr>
      <w:divsChild>
        <w:div w:id="49572267">
          <w:marLeft w:val="0"/>
          <w:marRight w:val="0"/>
          <w:marTop w:val="0"/>
          <w:marBottom w:val="0"/>
          <w:divBdr>
            <w:top w:val="none" w:sz="0" w:space="0" w:color="auto"/>
            <w:left w:val="none" w:sz="0" w:space="0" w:color="auto"/>
            <w:bottom w:val="none" w:sz="0" w:space="0" w:color="auto"/>
            <w:right w:val="none" w:sz="0" w:space="0" w:color="auto"/>
          </w:divBdr>
        </w:div>
        <w:div w:id="1978028009">
          <w:marLeft w:val="0"/>
          <w:marRight w:val="0"/>
          <w:marTop w:val="0"/>
          <w:marBottom w:val="0"/>
          <w:divBdr>
            <w:top w:val="none" w:sz="0" w:space="0" w:color="auto"/>
            <w:left w:val="none" w:sz="0" w:space="0" w:color="auto"/>
            <w:bottom w:val="none" w:sz="0" w:space="0" w:color="auto"/>
            <w:right w:val="none" w:sz="0" w:space="0" w:color="auto"/>
          </w:divBdr>
        </w:div>
      </w:divsChild>
    </w:div>
    <w:div w:id="76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58405">
          <w:marLeft w:val="0"/>
          <w:marRight w:val="0"/>
          <w:marTop w:val="0"/>
          <w:marBottom w:val="0"/>
          <w:divBdr>
            <w:top w:val="none" w:sz="0" w:space="0" w:color="auto"/>
            <w:left w:val="none" w:sz="0" w:space="0" w:color="auto"/>
            <w:bottom w:val="none" w:sz="0" w:space="0" w:color="auto"/>
            <w:right w:val="none" w:sz="0" w:space="0" w:color="auto"/>
          </w:divBdr>
        </w:div>
        <w:div w:id="26637474">
          <w:marLeft w:val="0"/>
          <w:marRight w:val="0"/>
          <w:marTop w:val="0"/>
          <w:marBottom w:val="0"/>
          <w:divBdr>
            <w:top w:val="none" w:sz="0" w:space="0" w:color="auto"/>
            <w:left w:val="none" w:sz="0" w:space="0" w:color="auto"/>
            <w:bottom w:val="none" w:sz="0" w:space="0" w:color="auto"/>
            <w:right w:val="none" w:sz="0" w:space="0" w:color="auto"/>
          </w:divBdr>
        </w:div>
        <w:div w:id="57363719">
          <w:marLeft w:val="0"/>
          <w:marRight w:val="0"/>
          <w:marTop w:val="0"/>
          <w:marBottom w:val="0"/>
          <w:divBdr>
            <w:top w:val="none" w:sz="0" w:space="0" w:color="auto"/>
            <w:left w:val="none" w:sz="0" w:space="0" w:color="auto"/>
            <w:bottom w:val="none" w:sz="0" w:space="0" w:color="auto"/>
            <w:right w:val="none" w:sz="0" w:space="0" w:color="auto"/>
          </w:divBdr>
        </w:div>
        <w:div w:id="85420688">
          <w:marLeft w:val="0"/>
          <w:marRight w:val="0"/>
          <w:marTop w:val="0"/>
          <w:marBottom w:val="0"/>
          <w:divBdr>
            <w:top w:val="none" w:sz="0" w:space="0" w:color="auto"/>
            <w:left w:val="none" w:sz="0" w:space="0" w:color="auto"/>
            <w:bottom w:val="none" w:sz="0" w:space="0" w:color="auto"/>
            <w:right w:val="none" w:sz="0" w:space="0" w:color="auto"/>
          </w:divBdr>
        </w:div>
        <w:div w:id="99036123">
          <w:marLeft w:val="0"/>
          <w:marRight w:val="0"/>
          <w:marTop w:val="0"/>
          <w:marBottom w:val="0"/>
          <w:divBdr>
            <w:top w:val="none" w:sz="0" w:space="0" w:color="auto"/>
            <w:left w:val="none" w:sz="0" w:space="0" w:color="auto"/>
            <w:bottom w:val="none" w:sz="0" w:space="0" w:color="auto"/>
            <w:right w:val="none" w:sz="0" w:space="0" w:color="auto"/>
          </w:divBdr>
        </w:div>
        <w:div w:id="155347028">
          <w:marLeft w:val="0"/>
          <w:marRight w:val="0"/>
          <w:marTop w:val="0"/>
          <w:marBottom w:val="0"/>
          <w:divBdr>
            <w:top w:val="none" w:sz="0" w:space="0" w:color="auto"/>
            <w:left w:val="none" w:sz="0" w:space="0" w:color="auto"/>
            <w:bottom w:val="none" w:sz="0" w:space="0" w:color="auto"/>
            <w:right w:val="none" w:sz="0" w:space="0" w:color="auto"/>
          </w:divBdr>
        </w:div>
        <w:div w:id="166403190">
          <w:marLeft w:val="0"/>
          <w:marRight w:val="0"/>
          <w:marTop w:val="0"/>
          <w:marBottom w:val="0"/>
          <w:divBdr>
            <w:top w:val="none" w:sz="0" w:space="0" w:color="auto"/>
            <w:left w:val="none" w:sz="0" w:space="0" w:color="auto"/>
            <w:bottom w:val="none" w:sz="0" w:space="0" w:color="auto"/>
            <w:right w:val="none" w:sz="0" w:space="0" w:color="auto"/>
          </w:divBdr>
        </w:div>
        <w:div w:id="209801661">
          <w:marLeft w:val="0"/>
          <w:marRight w:val="0"/>
          <w:marTop w:val="0"/>
          <w:marBottom w:val="0"/>
          <w:divBdr>
            <w:top w:val="none" w:sz="0" w:space="0" w:color="auto"/>
            <w:left w:val="none" w:sz="0" w:space="0" w:color="auto"/>
            <w:bottom w:val="none" w:sz="0" w:space="0" w:color="auto"/>
            <w:right w:val="none" w:sz="0" w:space="0" w:color="auto"/>
          </w:divBdr>
        </w:div>
        <w:div w:id="232860188">
          <w:marLeft w:val="0"/>
          <w:marRight w:val="0"/>
          <w:marTop w:val="0"/>
          <w:marBottom w:val="0"/>
          <w:divBdr>
            <w:top w:val="none" w:sz="0" w:space="0" w:color="auto"/>
            <w:left w:val="none" w:sz="0" w:space="0" w:color="auto"/>
            <w:bottom w:val="none" w:sz="0" w:space="0" w:color="auto"/>
            <w:right w:val="none" w:sz="0" w:space="0" w:color="auto"/>
          </w:divBdr>
        </w:div>
        <w:div w:id="251742186">
          <w:marLeft w:val="0"/>
          <w:marRight w:val="0"/>
          <w:marTop w:val="0"/>
          <w:marBottom w:val="0"/>
          <w:divBdr>
            <w:top w:val="none" w:sz="0" w:space="0" w:color="auto"/>
            <w:left w:val="none" w:sz="0" w:space="0" w:color="auto"/>
            <w:bottom w:val="none" w:sz="0" w:space="0" w:color="auto"/>
            <w:right w:val="none" w:sz="0" w:space="0" w:color="auto"/>
          </w:divBdr>
        </w:div>
        <w:div w:id="283539375">
          <w:marLeft w:val="0"/>
          <w:marRight w:val="0"/>
          <w:marTop w:val="0"/>
          <w:marBottom w:val="0"/>
          <w:divBdr>
            <w:top w:val="none" w:sz="0" w:space="0" w:color="auto"/>
            <w:left w:val="none" w:sz="0" w:space="0" w:color="auto"/>
            <w:bottom w:val="none" w:sz="0" w:space="0" w:color="auto"/>
            <w:right w:val="none" w:sz="0" w:space="0" w:color="auto"/>
          </w:divBdr>
        </w:div>
        <w:div w:id="322854565">
          <w:marLeft w:val="0"/>
          <w:marRight w:val="0"/>
          <w:marTop w:val="0"/>
          <w:marBottom w:val="0"/>
          <w:divBdr>
            <w:top w:val="none" w:sz="0" w:space="0" w:color="auto"/>
            <w:left w:val="none" w:sz="0" w:space="0" w:color="auto"/>
            <w:bottom w:val="none" w:sz="0" w:space="0" w:color="auto"/>
            <w:right w:val="none" w:sz="0" w:space="0" w:color="auto"/>
          </w:divBdr>
        </w:div>
        <w:div w:id="334386693">
          <w:marLeft w:val="0"/>
          <w:marRight w:val="0"/>
          <w:marTop w:val="0"/>
          <w:marBottom w:val="0"/>
          <w:divBdr>
            <w:top w:val="none" w:sz="0" w:space="0" w:color="auto"/>
            <w:left w:val="none" w:sz="0" w:space="0" w:color="auto"/>
            <w:bottom w:val="none" w:sz="0" w:space="0" w:color="auto"/>
            <w:right w:val="none" w:sz="0" w:space="0" w:color="auto"/>
          </w:divBdr>
        </w:div>
        <w:div w:id="335770976">
          <w:marLeft w:val="0"/>
          <w:marRight w:val="0"/>
          <w:marTop w:val="0"/>
          <w:marBottom w:val="0"/>
          <w:divBdr>
            <w:top w:val="none" w:sz="0" w:space="0" w:color="auto"/>
            <w:left w:val="none" w:sz="0" w:space="0" w:color="auto"/>
            <w:bottom w:val="none" w:sz="0" w:space="0" w:color="auto"/>
            <w:right w:val="none" w:sz="0" w:space="0" w:color="auto"/>
          </w:divBdr>
        </w:div>
        <w:div w:id="341511674">
          <w:marLeft w:val="0"/>
          <w:marRight w:val="0"/>
          <w:marTop w:val="0"/>
          <w:marBottom w:val="0"/>
          <w:divBdr>
            <w:top w:val="none" w:sz="0" w:space="0" w:color="auto"/>
            <w:left w:val="none" w:sz="0" w:space="0" w:color="auto"/>
            <w:bottom w:val="none" w:sz="0" w:space="0" w:color="auto"/>
            <w:right w:val="none" w:sz="0" w:space="0" w:color="auto"/>
          </w:divBdr>
        </w:div>
        <w:div w:id="381055240">
          <w:marLeft w:val="0"/>
          <w:marRight w:val="0"/>
          <w:marTop w:val="0"/>
          <w:marBottom w:val="0"/>
          <w:divBdr>
            <w:top w:val="none" w:sz="0" w:space="0" w:color="auto"/>
            <w:left w:val="none" w:sz="0" w:space="0" w:color="auto"/>
            <w:bottom w:val="none" w:sz="0" w:space="0" w:color="auto"/>
            <w:right w:val="none" w:sz="0" w:space="0" w:color="auto"/>
          </w:divBdr>
        </w:div>
        <w:div w:id="514618527">
          <w:marLeft w:val="0"/>
          <w:marRight w:val="0"/>
          <w:marTop w:val="0"/>
          <w:marBottom w:val="0"/>
          <w:divBdr>
            <w:top w:val="none" w:sz="0" w:space="0" w:color="auto"/>
            <w:left w:val="none" w:sz="0" w:space="0" w:color="auto"/>
            <w:bottom w:val="none" w:sz="0" w:space="0" w:color="auto"/>
            <w:right w:val="none" w:sz="0" w:space="0" w:color="auto"/>
          </w:divBdr>
        </w:div>
        <w:div w:id="550651469">
          <w:marLeft w:val="0"/>
          <w:marRight w:val="0"/>
          <w:marTop w:val="0"/>
          <w:marBottom w:val="0"/>
          <w:divBdr>
            <w:top w:val="none" w:sz="0" w:space="0" w:color="auto"/>
            <w:left w:val="none" w:sz="0" w:space="0" w:color="auto"/>
            <w:bottom w:val="none" w:sz="0" w:space="0" w:color="auto"/>
            <w:right w:val="none" w:sz="0" w:space="0" w:color="auto"/>
          </w:divBdr>
        </w:div>
        <w:div w:id="625703333">
          <w:marLeft w:val="0"/>
          <w:marRight w:val="0"/>
          <w:marTop w:val="0"/>
          <w:marBottom w:val="0"/>
          <w:divBdr>
            <w:top w:val="none" w:sz="0" w:space="0" w:color="auto"/>
            <w:left w:val="none" w:sz="0" w:space="0" w:color="auto"/>
            <w:bottom w:val="none" w:sz="0" w:space="0" w:color="auto"/>
            <w:right w:val="none" w:sz="0" w:space="0" w:color="auto"/>
          </w:divBdr>
        </w:div>
        <w:div w:id="662700294">
          <w:marLeft w:val="0"/>
          <w:marRight w:val="0"/>
          <w:marTop w:val="0"/>
          <w:marBottom w:val="0"/>
          <w:divBdr>
            <w:top w:val="none" w:sz="0" w:space="0" w:color="auto"/>
            <w:left w:val="none" w:sz="0" w:space="0" w:color="auto"/>
            <w:bottom w:val="none" w:sz="0" w:space="0" w:color="auto"/>
            <w:right w:val="none" w:sz="0" w:space="0" w:color="auto"/>
          </w:divBdr>
        </w:div>
        <w:div w:id="678629625">
          <w:marLeft w:val="0"/>
          <w:marRight w:val="0"/>
          <w:marTop w:val="0"/>
          <w:marBottom w:val="0"/>
          <w:divBdr>
            <w:top w:val="none" w:sz="0" w:space="0" w:color="auto"/>
            <w:left w:val="none" w:sz="0" w:space="0" w:color="auto"/>
            <w:bottom w:val="none" w:sz="0" w:space="0" w:color="auto"/>
            <w:right w:val="none" w:sz="0" w:space="0" w:color="auto"/>
          </w:divBdr>
        </w:div>
        <w:div w:id="711543001">
          <w:marLeft w:val="0"/>
          <w:marRight w:val="0"/>
          <w:marTop w:val="0"/>
          <w:marBottom w:val="0"/>
          <w:divBdr>
            <w:top w:val="none" w:sz="0" w:space="0" w:color="auto"/>
            <w:left w:val="none" w:sz="0" w:space="0" w:color="auto"/>
            <w:bottom w:val="none" w:sz="0" w:space="0" w:color="auto"/>
            <w:right w:val="none" w:sz="0" w:space="0" w:color="auto"/>
          </w:divBdr>
        </w:div>
        <w:div w:id="721252522">
          <w:marLeft w:val="0"/>
          <w:marRight w:val="0"/>
          <w:marTop w:val="0"/>
          <w:marBottom w:val="0"/>
          <w:divBdr>
            <w:top w:val="none" w:sz="0" w:space="0" w:color="auto"/>
            <w:left w:val="none" w:sz="0" w:space="0" w:color="auto"/>
            <w:bottom w:val="none" w:sz="0" w:space="0" w:color="auto"/>
            <w:right w:val="none" w:sz="0" w:space="0" w:color="auto"/>
          </w:divBdr>
        </w:div>
        <w:div w:id="729184222">
          <w:marLeft w:val="0"/>
          <w:marRight w:val="0"/>
          <w:marTop w:val="0"/>
          <w:marBottom w:val="0"/>
          <w:divBdr>
            <w:top w:val="none" w:sz="0" w:space="0" w:color="auto"/>
            <w:left w:val="none" w:sz="0" w:space="0" w:color="auto"/>
            <w:bottom w:val="none" w:sz="0" w:space="0" w:color="auto"/>
            <w:right w:val="none" w:sz="0" w:space="0" w:color="auto"/>
          </w:divBdr>
        </w:div>
        <w:div w:id="824974931">
          <w:marLeft w:val="0"/>
          <w:marRight w:val="0"/>
          <w:marTop w:val="0"/>
          <w:marBottom w:val="0"/>
          <w:divBdr>
            <w:top w:val="none" w:sz="0" w:space="0" w:color="auto"/>
            <w:left w:val="none" w:sz="0" w:space="0" w:color="auto"/>
            <w:bottom w:val="none" w:sz="0" w:space="0" w:color="auto"/>
            <w:right w:val="none" w:sz="0" w:space="0" w:color="auto"/>
          </w:divBdr>
        </w:div>
        <w:div w:id="837616431">
          <w:marLeft w:val="0"/>
          <w:marRight w:val="0"/>
          <w:marTop w:val="0"/>
          <w:marBottom w:val="0"/>
          <w:divBdr>
            <w:top w:val="none" w:sz="0" w:space="0" w:color="auto"/>
            <w:left w:val="none" w:sz="0" w:space="0" w:color="auto"/>
            <w:bottom w:val="none" w:sz="0" w:space="0" w:color="auto"/>
            <w:right w:val="none" w:sz="0" w:space="0" w:color="auto"/>
          </w:divBdr>
        </w:div>
        <w:div w:id="848636080">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896013241">
          <w:marLeft w:val="0"/>
          <w:marRight w:val="0"/>
          <w:marTop w:val="0"/>
          <w:marBottom w:val="0"/>
          <w:divBdr>
            <w:top w:val="none" w:sz="0" w:space="0" w:color="auto"/>
            <w:left w:val="none" w:sz="0" w:space="0" w:color="auto"/>
            <w:bottom w:val="none" w:sz="0" w:space="0" w:color="auto"/>
            <w:right w:val="none" w:sz="0" w:space="0" w:color="auto"/>
          </w:divBdr>
        </w:div>
        <w:div w:id="896936836">
          <w:marLeft w:val="0"/>
          <w:marRight w:val="0"/>
          <w:marTop w:val="0"/>
          <w:marBottom w:val="0"/>
          <w:divBdr>
            <w:top w:val="none" w:sz="0" w:space="0" w:color="auto"/>
            <w:left w:val="none" w:sz="0" w:space="0" w:color="auto"/>
            <w:bottom w:val="none" w:sz="0" w:space="0" w:color="auto"/>
            <w:right w:val="none" w:sz="0" w:space="0" w:color="auto"/>
          </w:divBdr>
        </w:div>
        <w:div w:id="988630666">
          <w:marLeft w:val="0"/>
          <w:marRight w:val="0"/>
          <w:marTop w:val="0"/>
          <w:marBottom w:val="0"/>
          <w:divBdr>
            <w:top w:val="none" w:sz="0" w:space="0" w:color="auto"/>
            <w:left w:val="none" w:sz="0" w:space="0" w:color="auto"/>
            <w:bottom w:val="none" w:sz="0" w:space="0" w:color="auto"/>
            <w:right w:val="none" w:sz="0" w:space="0" w:color="auto"/>
          </w:divBdr>
        </w:div>
        <w:div w:id="1023283506">
          <w:marLeft w:val="0"/>
          <w:marRight w:val="0"/>
          <w:marTop w:val="0"/>
          <w:marBottom w:val="0"/>
          <w:divBdr>
            <w:top w:val="none" w:sz="0" w:space="0" w:color="auto"/>
            <w:left w:val="none" w:sz="0" w:space="0" w:color="auto"/>
            <w:bottom w:val="none" w:sz="0" w:space="0" w:color="auto"/>
            <w:right w:val="none" w:sz="0" w:space="0" w:color="auto"/>
          </w:divBdr>
        </w:div>
        <w:div w:id="1031421281">
          <w:marLeft w:val="0"/>
          <w:marRight w:val="0"/>
          <w:marTop w:val="0"/>
          <w:marBottom w:val="0"/>
          <w:divBdr>
            <w:top w:val="none" w:sz="0" w:space="0" w:color="auto"/>
            <w:left w:val="none" w:sz="0" w:space="0" w:color="auto"/>
            <w:bottom w:val="none" w:sz="0" w:space="0" w:color="auto"/>
            <w:right w:val="none" w:sz="0" w:space="0" w:color="auto"/>
          </w:divBdr>
        </w:div>
        <w:div w:id="1156460536">
          <w:marLeft w:val="0"/>
          <w:marRight w:val="0"/>
          <w:marTop w:val="0"/>
          <w:marBottom w:val="0"/>
          <w:divBdr>
            <w:top w:val="none" w:sz="0" w:space="0" w:color="auto"/>
            <w:left w:val="none" w:sz="0" w:space="0" w:color="auto"/>
            <w:bottom w:val="none" w:sz="0" w:space="0" w:color="auto"/>
            <w:right w:val="none" w:sz="0" w:space="0" w:color="auto"/>
          </w:divBdr>
        </w:div>
        <w:div w:id="1182939864">
          <w:marLeft w:val="0"/>
          <w:marRight w:val="0"/>
          <w:marTop w:val="0"/>
          <w:marBottom w:val="0"/>
          <w:divBdr>
            <w:top w:val="none" w:sz="0" w:space="0" w:color="auto"/>
            <w:left w:val="none" w:sz="0" w:space="0" w:color="auto"/>
            <w:bottom w:val="none" w:sz="0" w:space="0" w:color="auto"/>
            <w:right w:val="none" w:sz="0" w:space="0" w:color="auto"/>
          </w:divBdr>
        </w:div>
        <w:div w:id="1216819559">
          <w:marLeft w:val="0"/>
          <w:marRight w:val="0"/>
          <w:marTop w:val="0"/>
          <w:marBottom w:val="0"/>
          <w:divBdr>
            <w:top w:val="none" w:sz="0" w:space="0" w:color="auto"/>
            <w:left w:val="none" w:sz="0" w:space="0" w:color="auto"/>
            <w:bottom w:val="none" w:sz="0" w:space="0" w:color="auto"/>
            <w:right w:val="none" w:sz="0" w:space="0" w:color="auto"/>
          </w:divBdr>
        </w:div>
        <w:div w:id="1225676084">
          <w:marLeft w:val="0"/>
          <w:marRight w:val="0"/>
          <w:marTop w:val="0"/>
          <w:marBottom w:val="0"/>
          <w:divBdr>
            <w:top w:val="none" w:sz="0" w:space="0" w:color="auto"/>
            <w:left w:val="none" w:sz="0" w:space="0" w:color="auto"/>
            <w:bottom w:val="none" w:sz="0" w:space="0" w:color="auto"/>
            <w:right w:val="none" w:sz="0" w:space="0" w:color="auto"/>
          </w:divBdr>
        </w:div>
        <w:div w:id="1240795100">
          <w:marLeft w:val="0"/>
          <w:marRight w:val="0"/>
          <w:marTop w:val="0"/>
          <w:marBottom w:val="0"/>
          <w:divBdr>
            <w:top w:val="none" w:sz="0" w:space="0" w:color="auto"/>
            <w:left w:val="none" w:sz="0" w:space="0" w:color="auto"/>
            <w:bottom w:val="none" w:sz="0" w:space="0" w:color="auto"/>
            <w:right w:val="none" w:sz="0" w:space="0" w:color="auto"/>
          </w:divBdr>
        </w:div>
        <w:div w:id="1255702397">
          <w:marLeft w:val="0"/>
          <w:marRight w:val="0"/>
          <w:marTop w:val="0"/>
          <w:marBottom w:val="0"/>
          <w:divBdr>
            <w:top w:val="none" w:sz="0" w:space="0" w:color="auto"/>
            <w:left w:val="none" w:sz="0" w:space="0" w:color="auto"/>
            <w:bottom w:val="none" w:sz="0" w:space="0" w:color="auto"/>
            <w:right w:val="none" w:sz="0" w:space="0" w:color="auto"/>
          </w:divBdr>
        </w:div>
        <w:div w:id="1268005612">
          <w:marLeft w:val="0"/>
          <w:marRight w:val="0"/>
          <w:marTop w:val="0"/>
          <w:marBottom w:val="0"/>
          <w:divBdr>
            <w:top w:val="none" w:sz="0" w:space="0" w:color="auto"/>
            <w:left w:val="none" w:sz="0" w:space="0" w:color="auto"/>
            <w:bottom w:val="none" w:sz="0" w:space="0" w:color="auto"/>
            <w:right w:val="none" w:sz="0" w:space="0" w:color="auto"/>
          </w:divBdr>
        </w:div>
        <w:div w:id="1272276842">
          <w:marLeft w:val="0"/>
          <w:marRight w:val="0"/>
          <w:marTop w:val="0"/>
          <w:marBottom w:val="0"/>
          <w:divBdr>
            <w:top w:val="none" w:sz="0" w:space="0" w:color="auto"/>
            <w:left w:val="none" w:sz="0" w:space="0" w:color="auto"/>
            <w:bottom w:val="none" w:sz="0" w:space="0" w:color="auto"/>
            <w:right w:val="none" w:sz="0" w:space="0" w:color="auto"/>
          </w:divBdr>
        </w:div>
        <w:div w:id="1280380431">
          <w:marLeft w:val="0"/>
          <w:marRight w:val="0"/>
          <w:marTop w:val="0"/>
          <w:marBottom w:val="0"/>
          <w:divBdr>
            <w:top w:val="none" w:sz="0" w:space="0" w:color="auto"/>
            <w:left w:val="none" w:sz="0" w:space="0" w:color="auto"/>
            <w:bottom w:val="none" w:sz="0" w:space="0" w:color="auto"/>
            <w:right w:val="none" w:sz="0" w:space="0" w:color="auto"/>
          </w:divBdr>
        </w:div>
        <w:div w:id="1341741325">
          <w:marLeft w:val="0"/>
          <w:marRight w:val="0"/>
          <w:marTop w:val="0"/>
          <w:marBottom w:val="0"/>
          <w:divBdr>
            <w:top w:val="none" w:sz="0" w:space="0" w:color="auto"/>
            <w:left w:val="none" w:sz="0" w:space="0" w:color="auto"/>
            <w:bottom w:val="none" w:sz="0" w:space="0" w:color="auto"/>
            <w:right w:val="none" w:sz="0" w:space="0" w:color="auto"/>
          </w:divBdr>
        </w:div>
        <w:div w:id="1371032079">
          <w:marLeft w:val="0"/>
          <w:marRight w:val="0"/>
          <w:marTop w:val="0"/>
          <w:marBottom w:val="0"/>
          <w:divBdr>
            <w:top w:val="none" w:sz="0" w:space="0" w:color="auto"/>
            <w:left w:val="none" w:sz="0" w:space="0" w:color="auto"/>
            <w:bottom w:val="none" w:sz="0" w:space="0" w:color="auto"/>
            <w:right w:val="none" w:sz="0" w:space="0" w:color="auto"/>
          </w:divBdr>
        </w:div>
        <w:div w:id="1404526070">
          <w:marLeft w:val="0"/>
          <w:marRight w:val="0"/>
          <w:marTop w:val="0"/>
          <w:marBottom w:val="0"/>
          <w:divBdr>
            <w:top w:val="none" w:sz="0" w:space="0" w:color="auto"/>
            <w:left w:val="none" w:sz="0" w:space="0" w:color="auto"/>
            <w:bottom w:val="none" w:sz="0" w:space="0" w:color="auto"/>
            <w:right w:val="none" w:sz="0" w:space="0" w:color="auto"/>
          </w:divBdr>
        </w:div>
        <w:div w:id="1554730951">
          <w:marLeft w:val="0"/>
          <w:marRight w:val="0"/>
          <w:marTop w:val="0"/>
          <w:marBottom w:val="0"/>
          <w:divBdr>
            <w:top w:val="none" w:sz="0" w:space="0" w:color="auto"/>
            <w:left w:val="none" w:sz="0" w:space="0" w:color="auto"/>
            <w:bottom w:val="none" w:sz="0" w:space="0" w:color="auto"/>
            <w:right w:val="none" w:sz="0" w:space="0" w:color="auto"/>
          </w:divBdr>
        </w:div>
        <w:div w:id="1556966648">
          <w:marLeft w:val="0"/>
          <w:marRight w:val="0"/>
          <w:marTop w:val="0"/>
          <w:marBottom w:val="0"/>
          <w:divBdr>
            <w:top w:val="none" w:sz="0" w:space="0" w:color="auto"/>
            <w:left w:val="none" w:sz="0" w:space="0" w:color="auto"/>
            <w:bottom w:val="none" w:sz="0" w:space="0" w:color="auto"/>
            <w:right w:val="none" w:sz="0" w:space="0" w:color="auto"/>
          </w:divBdr>
        </w:div>
        <w:div w:id="1586840601">
          <w:marLeft w:val="0"/>
          <w:marRight w:val="0"/>
          <w:marTop w:val="0"/>
          <w:marBottom w:val="0"/>
          <w:divBdr>
            <w:top w:val="none" w:sz="0" w:space="0" w:color="auto"/>
            <w:left w:val="none" w:sz="0" w:space="0" w:color="auto"/>
            <w:bottom w:val="none" w:sz="0" w:space="0" w:color="auto"/>
            <w:right w:val="none" w:sz="0" w:space="0" w:color="auto"/>
          </w:divBdr>
        </w:div>
        <w:div w:id="1701859851">
          <w:marLeft w:val="0"/>
          <w:marRight w:val="0"/>
          <w:marTop w:val="0"/>
          <w:marBottom w:val="0"/>
          <w:divBdr>
            <w:top w:val="none" w:sz="0" w:space="0" w:color="auto"/>
            <w:left w:val="none" w:sz="0" w:space="0" w:color="auto"/>
            <w:bottom w:val="none" w:sz="0" w:space="0" w:color="auto"/>
            <w:right w:val="none" w:sz="0" w:space="0" w:color="auto"/>
          </w:divBdr>
        </w:div>
        <w:div w:id="1759130739">
          <w:marLeft w:val="0"/>
          <w:marRight w:val="0"/>
          <w:marTop w:val="0"/>
          <w:marBottom w:val="0"/>
          <w:divBdr>
            <w:top w:val="none" w:sz="0" w:space="0" w:color="auto"/>
            <w:left w:val="none" w:sz="0" w:space="0" w:color="auto"/>
            <w:bottom w:val="none" w:sz="0" w:space="0" w:color="auto"/>
            <w:right w:val="none" w:sz="0" w:space="0" w:color="auto"/>
          </w:divBdr>
        </w:div>
        <w:div w:id="1832409718">
          <w:marLeft w:val="0"/>
          <w:marRight w:val="0"/>
          <w:marTop w:val="0"/>
          <w:marBottom w:val="0"/>
          <w:divBdr>
            <w:top w:val="none" w:sz="0" w:space="0" w:color="auto"/>
            <w:left w:val="none" w:sz="0" w:space="0" w:color="auto"/>
            <w:bottom w:val="none" w:sz="0" w:space="0" w:color="auto"/>
            <w:right w:val="none" w:sz="0" w:space="0" w:color="auto"/>
          </w:divBdr>
        </w:div>
        <w:div w:id="1889954632">
          <w:marLeft w:val="0"/>
          <w:marRight w:val="0"/>
          <w:marTop w:val="0"/>
          <w:marBottom w:val="0"/>
          <w:divBdr>
            <w:top w:val="none" w:sz="0" w:space="0" w:color="auto"/>
            <w:left w:val="none" w:sz="0" w:space="0" w:color="auto"/>
            <w:bottom w:val="none" w:sz="0" w:space="0" w:color="auto"/>
            <w:right w:val="none" w:sz="0" w:space="0" w:color="auto"/>
          </w:divBdr>
        </w:div>
        <w:div w:id="1914587112">
          <w:marLeft w:val="0"/>
          <w:marRight w:val="0"/>
          <w:marTop w:val="0"/>
          <w:marBottom w:val="0"/>
          <w:divBdr>
            <w:top w:val="none" w:sz="0" w:space="0" w:color="auto"/>
            <w:left w:val="none" w:sz="0" w:space="0" w:color="auto"/>
            <w:bottom w:val="none" w:sz="0" w:space="0" w:color="auto"/>
            <w:right w:val="none" w:sz="0" w:space="0" w:color="auto"/>
          </w:divBdr>
        </w:div>
        <w:div w:id="1917474660">
          <w:marLeft w:val="0"/>
          <w:marRight w:val="0"/>
          <w:marTop w:val="0"/>
          <w:marBottom w:val="0"/>
          <w:divBdr>
            <w:top w:val="none" w:sz="0" w:space="0" w:color="auto"/>
            <w:left w:val="none" w:sz="0" w:space="0" w:color="auto"/>
            <w:bottom w:val="none" w:sz="0" w:space="0" w:color="auto"/>
            <w:right w:val="none" w:sz="0" w:space="0" w:color="auto"/>
          </w:divBdr>
        </w:div>
        <w:div w:id="1975208771">
          <w:marLeft w:val="0"/>
          <w:marRight w:val="0"/>
          <w:marTop w:val="0"/>
          <w:marBottom w:val="0"/>
          <w:divBdr>
            <w:top w:val="none" w:sz="0" w:space="0" w:color="auto"/>
            <w:left w:val="none" w:sz="0" w:space="0" w:color="auto"/>
            <w:bottom w:val="none" w:sz="0" w:space="0" w:color="auto"/>
            <w:right w:val="none" w:sz="0" w:space="0" w:color="auto"/>
          </w:divBdr>
        </w:div>
        <w:div w:id="1992250667">
          <w:marLeft w:val="0"/>
          <w:marRight w:val="0"/>
          <w:marTop w:val="0"/>
          <w:marBottom w:val="0"/>
          <w:divBdr>
            <w:top w:val="none" w:sz="0" w:space="0" w:color="auto"/>
            <w:left w:val="none" w:sz="0" w:space="0" w:color="auto"/>
            <w:bottom w:val="none" w:sz="0" w:space="0" w:color="auto"/>
            <w:right w:val="none" w:sz="0" w:space="0" w:color="auto"/>
          </w:divBdr>
        </w:div>
        <w:div w:id="2006742313">
          <w:marLeft w:val="0"/>
          <w:marRight w:val="0"/>
          <w:marTop w:val="0"/>
          <w:marBottom w:val="0"/>
          <w:divBdr>
            <w:top w:val="none" w:sz="0" w:space="0" w:color="auto"/>
            <w:left w:val="none" w:sz="0" w:space="0" w:color="auto"/>
            <w:bottom w:val="none" w:sz="0" w:space="0" w:color="auto"/>
            <w:right w:val="none" w:sz="0" w:space="0" w:color="auto"/>
          </w:divBdr>
        </w:div>
        <w:div w:id="2031492539">
          <w:marLeft w:val="0"/>
          <w:marRight w:val="0"/>
          <w:marTop w:val="0"/>
          <w:marBottom w:val="0"/>
          <w:divBdr>
            <w:top w:val="none" w:sz="0" w:space="0" w:color="auto"/>
            <w:left w:val="none" w:sz="0" w:space="0" w:color="auto"/>
            <w:bottom w:val="none" w:sz="0" w:space="0" w:color="auto"/>
            <w:right w:val="none" w:sz="0" w:space="0" w:color="auto"/>
          </w:divBdr>
        </w:div>
        <w:div w:id="2103602858">
          <w:marLeft w:val="0"/>
          <w:marRight w:val="0"/>
          <w:marTop w:val="0"/>
          <w:marBottom w:val="0"/>
          <w:divBdr>
            <w:top w:val="none" w:sz="0" w:space="0" w:color="auto"/>
            <w:left w:val="none" w:sz="0" w:space="0" w:color="auto"/>
            <w:bottom w:val="none" w:sz="0" w:space="0" w:color="auto"/>
            <w:right w:val="none" w:sz="0" w:space="0" w:color="auto"/>
          </w:divBdr>
        </w:div>
        <w:div w:id="2103603608">
          <w:marLeft w:val="0"/>
          <w:marRight w:val="0"/>
          <w:marTop w:val="0"/>
          <w:marBottom w:val="0"/>
          <w:divBdr>
            <w:top w:val="none" w:sz="0" w:space="0" w:color="auto"/>
            <w:left w:val="none" w:sz="0" w:space="0" w:color="auto"/>
            <w:bottom w:val="none" w:sz="0" w:space="0" w:color="auto"/>
            <w:right w:val="none" w:sz="0" w:space="0" w:color="auto"/>
          </w:divBdr>
        </w:div>
      </w:divsChild>
    </w:div>
    <w:div w:id="828715352">
      <w:bodyDiv w:val="1"/>
      <w:marLeft w:val="0"/>
      <w:marRight w:val="0"/>
      <w:marTop w:val="0"/>
      <w:marBottom w:val="0"/>
      <w:divBdr>
        <w:top w:val="none" w:sz="0" w:space="0" w:color="auto"/>
        <w:left w:val="none" w:sz="0" w:space="0" w:color="auto"/>
        <w:bottom w:val="none" w:sz="0" w:space="0" w:color="auto"/>
        <w:right w:val="none" w:sz="0" w:space="0" w:color="auto"/>
      </w:divBdr>
    </w:div>
    <w:div w:id="855115773">
      <w:bodyDiv w:val="1"/>
      <w:marLeft w:val="0"/>
      <w:marRight w:val="0"/>
      <w:marTop w:val="0"/>
      <w:marBottom w:val="0"/>
      <w:divBdr>
        <w:top w:val="none" w:sz="0" w:space="0" w:color="auto"/>
        <w:left w:val="none" w:sz="0" w:space="0" w:color="auto"/>
        <w:bottom w:val="none" w:sz="0" w:space="0" w:color="auto"/>
        <w:right w:val="none" w:sz="0" w:space="0" w:color="auto"/>
      </w:divBdr>
    </w:div>
    <w:div w:id="888764569">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7498055">
      <w:bodyDiv w:val="1"/>
      <w:marLeft w:val="0"/>
      <w:marRight w:val="0"/>
      <w:marTop w:val="0"/>
      <w:marBottom w:val="0"/>
      <w:divBdr>
        <w:top w:val="none" w:sz="0" w:space="0" w:color="auto"/>
        <w:left w:val="none" w:sz="0" w:space="0" w:color="auto"/>
        <w:bottom w:val="none" w:sz="0" w:space="0" w:color="auto"/>
        <w:right w:val="none" w:sz="0" w:space="0" w:color="auto"/>
      </w:divBdr>
    </w:div>
    <w:div w:id="922224830">
      <w:bodyDiv w:val="1"/>
      <w:marLeft w:val="0"/>
      <w:marRight w:val="0"/>
      <w:marTop w:val="0"/>
      <w:marBottom w:val="0"/>
      <w:divBdr>
        <w:top w:val="none" w:sz="0" w:space="0" w:color="auto"/>
        <w:left w:val="none" w:sz="0" w:space="0" w:color="auto"/>
        <w:bottom w:val="none" w:sz="0" w:space="0" w:color="auto"/>
        <w:right w:val="none" w:sz="0" w:space="0" w:color="auto"/>
      </w:divBdr>
    </w:div>
    <w:div w:id="1011569839">
      <w:bodyDiv w:val="1"/>
      <w:marLeft w:val="0"/>
      <w:marRight w:val="0"/>
      <w:marTop w:val="0"/>
      <w:marBottom w:val="0"/>
      <w:divBdr>
        <w:top w:val="none" w:sz="0" w:space="0" w:color="auto"/>
        <w:left w:val="none" w:sz="0" w:space="0" w:color="auto"/>
        <w:bottom w:val="none" w:sz="0" w:space="0" w:color="auto"/>
        <w:right w:val="none" w:sz="0" w:space="0" w:color="auto"/>
      </w:divBdr>
    </w:div>
    <w:div w:id="1101608788">
      <w:bodyDiv w:val="1"/>
      <w:marLeft w:val="0"/>
      <w:marRight w:val="0"/>
      <w:marTop w:val="0"/>
      <w:marBottom w:val="0"/>
      <w:divBdr>
        <w:top w:val="none" w:sz="0" w:space="0" w:color="auto"/>
        <w:left w:val="none" w:sz="0" w:space="0" w:color="auto"/>
        <w:bottom w:val="none" w:sz="0" w:space="0" w:color="auto"/>
        <w:right w:val="none" w:sz="0" w:space="0" w:color="auto"/>
      </w:divBdr>
      <w:divsChild>
        <w:div w:id="350767478">
          <w:marLeft w:val="0"/>
          <w:marRight w:val="0"/>
          <w:marTop w:val="0"/>
          <w:marBottom w:val="0"/>
          <w:divBdr>
            <w:top w:val="none" w:sz="0" w:space="0" w:color="auto"/>
            <w:left w:val="none" w:sz="0" w:space="0" w:color="auto"/>
            <w:bottom w:val="none" w:sz="0" w:space="0" w:color="auto"/>
            <w:right w:val="none" w:sz="0" w:space="0" w:color="auto"/>
          </w:divBdr>
        </w:div>
      </w:divsChild>
    </w:div>
    <w:div w:id="1110467510">
      <w:bodyDiv w:val="1"/>
      <w:marLeft w:val="0"/>
      <w:marRight w:val="0"/>
      <w:marTop w:val="0"/>
      <w:marBottom w:val="0"/>
      <w:divBdr>
        <w:top w:val="none" w:sz="0" w:space="0" w:color="auto"/>
        <w:left w:val="none" w:sz="0" w:space="0" w:color="auto"/>
        <w:bottom w:val="none" w:sz="0" w:space="0" w:color="auto"/>
        <w:right w:val="none" w:sz="0" w:space="0" w:color="auto"/>
      </w:divBdr>
    </w:div>
    <w:div w:id="1115634802">
      <w:bodyDiv w:val="1"/>
      <w:marLeft w:val="0"/>
      <w:marRight w:val="0"/>
      <w:marTop w:val="0"/>
      <w:marBottom w:val="0"/>
      <w:divBdr>
        <w:top w:val="none" w:sz="0" w:space="0" w:color="auto"/>
        <w:left w:val="none" w:sz="0" w:space="0" w:color="auto"/>
        <w:bottom w:val="none" w:sz="0" w:space="0" w:color="auto"/>
        <w:right w:val="none" w:sz="0" w:space="0" w:color="auto"/>
      </w:divBdr>
    </w:div>
    <w:div w:id="1119568023">
      <w:bodyDiv w:val="1"/>
      <w:marLeft w:val="0"/>
      <w:marRight w:val="0"/>
      <w:marTop w:val="0"/>
      <w:marBottom w:val="0"/>
      <w:divBdr>
        <w:top w:val="none" w:sz="0" w:space="0" w:color="auto"/>
        <w:left w:val="none" w:sz="0" w:space="0" w:color="auto"/>
        <w:bottom w:val="none" w:sz="0" w:space="0" w:color="auto"/>
        <w:right w:val="none" w:sz="0" w:space="0" w:color="auto"/>
      </w:divBdr>
    </w:div>
    <w:div w:id="1137720653">
      <w:bodyDiv w:val="1"/>
      <w:marLeft w:val="0"/>
      <w:marRight w:val="0"/>
      <w:marTop w:val="0"/>
      <w:marBottom w:val="0"/>
      <w:divBdr>
        <w:top w:val="none" w:sz="0" w:space="0" w:color="auto"/>
        <w:left w:val="none" w:sz="0" w:space="0" w:color="auto"/>
        <w:bottom w:val="none" w:sz="0" w:space="0" w:color="auto"/>
        <w:right w:val="none" w:sz="0" w:space="0" w:color="auto"/>
      </w:divBdr>
    </w:div>
    <w:div w:id="1208032294">
      <w:bodyDiv w:val="1"/>
      <w:marLeft w:val="0"/>
      <w:marRight w:val="0"/>
      <w:marTop w:val="0"/>
      <w:marBottom w:val="0"/>
      <w:divBdr>
        <w:top w:val="none" w:sz="0" w:space="0" w:color="auto"/>
        <w:left w:val="none" w:sz="0" w:space="0" w:color="auto"/>
        <w:bottom w:val="none" w:sz="0" w:space="0" w:color="auto"/>
        <w:right w:val="none" w:sz="0" w:space="0" w:color="auto"/>
      </w:divBdr>
    </w:div>
    <w:div w:id="1223561951">
      <w:bodyDiv w:val="1"/>
      <w:marLeft w:val="0"/>
      <w:marRight w:val="0"/>
      <w:marTop w:val="0"/>
      <w:marBottom w:val="0"/>
      <w:divBdr>
        <w:top w:val="none" w:sz="0" w:space="0" w:color="auto"/>
        <w:left w:val="none" w:sz="0" w:space="0" w:color="auto"/>
        <w:bottom w:val="none" w:sz="0" w:space="0" w:color="auto"/>
        <w:right w:val="none" w:sz="0" w:space="0" w:color="auto"/>
      </w:divBdr>
    </w:div>
    <w:div w:id="1412971584">
      <w:bodyDiv w:val="1"/>
      <w:marLeft w:val="0"/>
      <w:marRight w:val="0"/>
      <w:marTop w:val="0"/>
      <w:marBottom w:val="0"/>
      <w:divBdr>
        <w:top w:val="none" w:sz="0" w:space="0" w:color="auto"/>
        <w:left w:val="none" w:sz="0" w:space="0" w:color="auto"/>
        <w:bottom w:val="none" w:sz="0" w:space="0" w:color="auto"/>
        <w:right w:val="none" w:sz="0" w:space="0" w:color="auto"/>
      </w:divBdr>
    </w:div>
    <w:div w:id="1419056738">
      <w:bodyDiv w:val="1"/>
      <w:marLeft w:val="0"/>
      <w:marRight w:val="0"/>
      <w:marTop w:val="0"/>
      <w:marBottom w:val="0"/>
      <w:divBdr>
        <w:top w:val="none" w:sz="0" w:space="0" w:color="auto"/>
        <w:left w:val="none" w:sz="0" w:space="0" w:color="auto"/>
        <w:bottom w:val="none" w:sz="0" w:space="0" w:color="auto"/>
        <w:right w:val="none" w:sz="0" w:space="0" w:color="auto"/>
      </w:divBdr>
    </w:div>
    <w:div w:id="1575504292">
      <w:bodyDiv w:val="1"/>
      <w:marLeft w:val="0"/>
      <w:marRight w:val="0"/>
      <w:marTop w:val="0"/>
      <w:marBottom w:val="0"/>
      <w:divBdr>
        <w:top w:val="none" w:sz="0" w:space="0" w:color="auto"/>
        <w:left w:val="none" w:sz="0" w:space="0" w:color="auto"/>
        <w:bottom w:val="none" w:sz="0" w:space="0" w:color="auto"/>
        <w:right w:val="none" w:sz="0" w:space="0" w:color="auto"/>
      </w:divBdr>
    </w:div>
    <w:div w:id="1671323032">
      <w:bodyDiv w:val="1"/>
      <w:marLeft w:val="0"/>
      <w:marRight w:val="0"/>
      <w:marTop w:val="0"/>
      <w:marBottom w:val="0"/>
      <w:divBdr>
        <w:top w:val="none" w:sz="0" w:space="0" w:color="auto"/>
        <w:left w:val="none" w:sz="0" w:space="0" w:color="auto"/>
        <w:bottom w:val="none" w:sz="0" w:space="0" w:color="auto"/>
        <w:right w:val="none" w:sz="0" w:space="0" w:color="auto"/>
      </w:divBdr>
    </w:div>
    <w:div w:id="1761490552">
      <w:bodyDiv w:val="1"/>
      <w:marLeft w:val="0"/>
      <w:marRight w:val="0"/>
      <w:marTop w:val="0"/>
      <w:marBottom w:val="0"/>
      <w:divBdr>
        <w:top w:val="none" w:sz="0" w:space="0" w:color="auto"/>
        <w:left w:val="none" w:sz="0" w:space="0" w:color="auto"/>
        <w:bottom w:val="none" w:sz="0" w:space="0" w:color="auto"/>
        <w:right w:val="none" w:sz="0" w:space="0" w:color="auto"/>
      </w:divBdr>
    </w:div>
    <w:div w:id="1862666926">
      <w:bodyDiv w:val="1"/>
      <w:marLeft w:val="0"/>
      <w:marRight w:val="0"/>
      <w:marTop w:val="0"/>
      <w:marBottom w:val="0"/>
      <w:divBdr>
        <w:top w:val="none" w:sz="0" w:space="0" w:color="auto"/>
        <w:left w:val="none" w:sz="0" w:space="0" w:color="auto"/>
        <w:bottom w:val="none" w:sz="0" w:space="0" w:color="auto"/>
        <w:right w:val="none" w:sz="0" w:space="0" w:color="auto"/>
      </w:divBdr>
    </w:div>
    <w:div w:id="1902908295">
      <w:bodyDiv w:val="1"/>
      <w:marLeft w:val="0"/>
      <w:marRight w:val="0"/>
      <w:marTop w:val="0"/>
      <w:marBottom w:val="0"/>
      <w:divBdr>
        <w:top w:val="none" w:sz="0" w:space="0" w:color="auto"/>
        <w:left w:val="none" w:sz="0" w:space="0" w:color="auto"/>
        <w:bottom w:val="none" w:sz="0" w:space="0" w:color="auto"/>
        <w:right w:val="none" w:sz="0" w:space="0" w:color="auto"/>
      </w:divBdr>
    </w:div>
    <w:div w:id="1970044612">
      <w:bodyDiv w:val="1"/>
      <w:marLeft w:val="0"/>
      <w:marRight w:val="0"/>
      <w:marTop w:val="0"/>
      <w:marBottom w:val="0"/>
      <w:divBdr>
        <w:top w:val="none" w:sz="0" w:space="0" w:color="auto"/>
        <w:left w:val="none" w:sz="0" w:space="0" w:color="auto"/>
        <w:bottom w:val="none" w:sz="0" w:space="0" w:color="auto"/>
        <w:right w:val="none" w:sz="0" w:space="0" w:color="auto"/>
      </w:divBdr>
    </w:div>
    <w:div w:id="2008828662">
      <w:bodyDiv w:val="1"/>
      <w:marLeft w:val="0"/>
      <w:marRight w:val="0"/>
      <w:marTop w:val="0"/>
      <w:marBottom w:val="0"/>
      <w:divBdr>
        <w:top w:val="none" w:sz="0" w:space="0" w:color="auto"/>
        <w:left w:val="none" w:sz="0" w:space="0" w:color="auto"/>
        <w:bottom w:val="none" w:sz="0" w:space="0" w:color="auto"/>
        <w:right w:val="none" w:sz="0" w:space="0" w:color="auto"/>
      </w:divBdr>
    </w:div>
    <w:div w:id="2013560031">
      <w:bodyDiv w:val="1"/>
      <w:marLeft w:val="0"/>
      <w:marRight w:val="0"/>
      <w:marTop w:val="0"/>
      <w:marBottom w:val="0"/>
      <w:divBdr>
        <w:top w:val="none" w:sz="0" w:space="0" w:color="auto"/>
        <w:left w:val="none" w:sz="0" w:space="0" w:color="auto"/>
        <w:bottom w:val="none" w:sz="0" w:space="0" w:color="auto"/>
        <w:right w:val="none" w:sz="0" w:space="0" w:color="auto"/>
      </w:divBdr>
      <w:divsChild>
        <w:div w:id="1559783065">
          <w:marLeft w:val="0"/>
          <w:marRight w:val="0"/>
          <w:marTop w:val="0"/>
          <w:marBottom w:val="0"/>
          <w:divBdr>
            <w:top w:val="none" w:sz="0" w:space="0" w:color="auto"/>
            <w:left w:val="none" w:sz="0" w:space="0" w:color="auto"/>
            <w:bottom w:val="none" w:sz="0" w:space="0" w:color="auto"/>
            <w:right w:val="none" w:sz="0" w:space="0" w:color="auto"/>
          </w:divBdr>
        </w:div>
        <w:div w:id="429351564">
          <w:marLeft w:val="0"/>
          <w:marRight w:val="0"/>
          <w:marTop w:val="0"/>
          <w:marBottom w:val="0"/>
          <w:divBdr>
            <w:top w:val="none" w:sz="0" w:space="0" w:color="auto"/>
            <w:left w:val="none" w:sz="0" w:space="0" w:color="auto"/>
            <w:bottom w:val="none" w:sz="0" w:space="0" w:color="auto"/>
            <w:right w:val="none" w:sz="0" w:space="0" w:color="auto"/>
          </w:divBdr>
        </w:div>
        <w:div w:id="1039160235">
          <w:marLeft w:val="0"/>
          <w:marRight w:val="0"/>
          <w:marTop w:val="0"/>
          <w:marBottom w:val="0"/>
          <w:divBdr>
            <w:top w:val="none" w:sz="0" w:space="0" w:color="auto"/>
            <w:left w:val="none" w:sz="0" w:space="0" w:color="auto"/>
            <w:bottom w:val="none" w:sz="0" w:space="0" w:color="auto"/>
            <w:right w:val="none" w:sz="0" w:space="0" w:color="auto"/>
          </w:divBdr>
        </w:div>
        <w:div w:id="1546598307">
          <w:marLeft w:val="0"/>
          <w:marRight w:val="0"/>
          <w:marTop w:val="0"/>
          <w:marBottom w:val="0"/>
          <w:divBdr>
            <w:top w:val="none" w:sz="0" w:space="0" w:color="auto"/>
            <w:left w:val="none" w:sz="0" w:space="0" w:color="auto"/>
            <w:bottom w:val="none" w:sz="0" w:space="0" w:color="auto"/>
            <w:right w:val="none" w:sz="0" w:space="0" w:color="auto"/>
          </w:divBdr>
          <w:divsChild>
            <w:div w:id="18654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0283">
      <w:bodyDiv w:val="1"/>
      <w:marLeft w:val="0"/>
      <w:marRight w:val="0"/>
      <w:marTop w:val="0"/>
      <w:marBottom w:val="0"/>
      <w:divBdr>
        <w:top w:val="none" w:sz="0" w:space="0" w:color="auto"/>
        <w:left w:val="none" w:sz="0" w:space="0" w:color="auto"/>
        <w:bottom w:val="none" w:sz="0" w:space="0" w:color="auto"/>
        <w:right w:val="none" w:sz="0" w:space="0" w:color="auto"/>
      </w:divBdr>
    </w:div>
    <w:div w:id="2128042367">
      <w:bodyDiv w:val="1"/>
      <w:marLeft w:val="0"/>
      <w:marRight w:val="0"/>
      <w:marTop w:val="0"/>
      <w:marBottom w:val="0"/>
      <w:divBdr>
        <w:top w:val="none" w:sz="0" w:space="0" w:color="auto"/>
        <w:left w:val="none" w:sz="0" w:space="0" w:color="auto"/>
        <w:bottom w:val="none" w:sz="0" w:space="0" w:color="auto"/>
        <w:right w:val="none" w:sz="0" w:space="0" w:color="auto"/>
      </w:divBdr>
      <w:divsChild>
        <w:div w:id="1940409746">
          <w:marLeft w:val="0"/>
          <w:marRight w:val="0"/>
          <w:marTop w:val="0"/>
          <w:marBottom w:val="0"/>
          <w:divBdr>
            <w:top w:val="none" w:sz="0" w:space="0" w:color="auto"/>
            <w:left w:val="none" w:sz="0" w:space="0" w:color="auto"/>
            <w:bottom w:val="none" w:sz="0" w:space="0" w:color="auto"/>
            <w:right w:val="none" w:sz="0" w:space="0" w:color="auto"/>
          </w:divBdr>
        </w:div>
      </w:divsChild>
    </w:div>
    <w:div w:id="21372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Sin04</b:Tag>
    <b:SourceType>JournalArticle</b:SourceType>
    <b:Guid>{7BCB893F-CC2C-D645-A98C-D1E72F7B1D1D}</b:Guid>
    <b:Title>Implementing e-Learning Programmes for Higher Education</b:Title>
    <b:Year>2004</b:Year>
    <b:Pages>314-323</b:Pages>
    <b:JournalName>Journal of Information Technology Education</b:JournalName>
    <b:Volume>3</b:Volume>
    <b:Author>
      <b:Author>
        <b:NameList>
          <b:Person>
            <b:Last>Singh</b:Last>
            <b:Middle>K.</b:Middle>
            <b:First>O'Neill</b:First>
          </b:Person>
          <b:Person>
            <b:Last>O'Donoghue</b:Last>
            <b:First>J.</b:First>
          </b:Person>
        </b:NameList>
      </b:Author>
    </b:Author>
    <b:RefOrder>1</b:RefOrder>
  </b:Source>
  <b:Source>
    <b:Tag>Liz06</b:Tag>
    <b:SourceType>Report</b:SourceType>
    <b:Guid>{A4C1BC00-95C4-2F45-A8B9-8B017C5F8E66}</b:Guid>
    <b:Title>Designing an Orientation and transition strategy for commencing students</b:Title>
    <b:Publisher>Griffith University</b:Publisher>
    <b:City>Queensland</b:City>
    <b:Year>2006</b:Year>
    <b:Author>
      <b:Author>
        <b:NameList>
          <b:Person>
            <b:Last>Lizzio</b:Last>
            <b:First>Alf</b:First>
          </b:Person>
        </b:NameList>
      </b:Author>
    </b:Author>
    <b:RefOrder>2</b:RefOrder>
  </b:Source>
  <b:Source>
    <b:Tag>LiC13</b:Tag>
    <b:SourceType>JournalArticle</b:SourceType>
    <b:Guid>{45EF1AA9-ACCB-A540-B800-8C6998991954}</b:Guid>
    <b:Title>Engaging Computer Science Students through Gamification in an Online Social Network Based Collaborative Learning Evironment</b:Title>
    <b:JournalName>International Journal of Information and Education Technology</b:JournalName>
    <b:Year>2013</b:Year>
    <b:Pages>72-75</b:Pages>
    <b:Author>
      <b:Author>
        <b:NameList>
          <b:Person>
            <b:Last>Li</b:Last>
            <b:First>Cen</b:First>
          </b:Person>
          <b:Person>
            <b:Last>Dong</b:Last>
            <b:First>Zhijiang</b:First>
          </b:Person>
          <b:Person>
            <b:Last>Untch</b:Last>
            <b:First>Roland</b:First>
          </b:Person>
          <b:Person>
            <b:Last>Chasteen</b:Last>
            <b:First>Michael</b:First>
          </b:Person>
        </b:NameList>
      </b:Author>
    </b:Author>
    <b:RefOrder>3</b:RefOrder>
  </b:Source>
  <b:Source>
    <b:Tag>Dic15</b:Tag>
    <b:SourceType>JournalArticle</b:SourceType>
    <b:Guid>{E73403FB-07E3-7D4E-932A-E1EDF12F79D0}</b:Guid>
    <b:Title>Gamification in Education: A Systematic Mapping Study</b:Title>
    <b:Publisher>International Forum of Educational Technology &amp; Society</b:Publisher>
    <b:Volume>18</b:Volume>
    <b:Year>2015</b:Year>
    <b:Pages>75-88</b:Pages>
    <b:JournalName>Journal of Educational Technology &amp; Society</b:JournalName>
    <b:Month>July</b:Month>
    <b:Author>
      <b:Author>
        <b:NameList>
          <b:Person>
            <b:Last>Dicheva</b:Last>
            <b:First>Darina</b:First>
          </b:Person>
          <b:Person>
            <b:Last>Dichev</b:Last>
            <b:First>Christo</b:First>
          </b:Person>
          <b:Person>
            <b:Last>Agre</b:Last>
            <b:First>Gennady</b:First>
          </b:Person>
          <b:Person>
            <b:Last>Angelova</b:Last>
            <b:First>Galia</b:First>
          </b:Person>
        </b:NameList>
      </b:Author>
    </b:Author>
    <b:RefOrder>4</b:RefOrder>
  </b:Source>
  <b:Source>
    <b:Tag>Lee11</b:Tag>
    <b:SourceType>JournalArticle</b:SourceType>
    <b:Guid>{3E101F0B-03ED-AE4F-92C3-1FC9139943D3}</b:Guid>
    <b:Title>Gamification in Education: What, How, Why Bother?</b:Title>
    <b:JournalName>Academic Exchange Quarterly</b:JournalName>
    <b:Year>2011</b:Year>
    <b:Pages>15-19</b:Pages>
    <b:Author>
      <b:Author>
        <b:NameList>
          <b:Person>
            <b:Last>Lee</b:Last>
            <b:Middle>J.</b:Middle>
            <b:First>Joey</b:First>
          </b:Person>
          <b:Person>
            <b:Last>Hammer</b:Last>
            <b:First>Jessica</b:First>
          </b:Person>
        </b:NameList>
      </b:Author>
    </b:Author>
    <b:RefOrder>5</b:RefOrder>
  </b:Source>
  <b:Source>
    <b:Tag>Wan13</b:Tag>
    <b:SourceType>Book</b:SourceType>
    <b:Guid>{8DF95A71-5142-5F48-8462-D49472521D18}</b:Guid>
    <b:Title>Increasing Student Engagment and Retention using mobile applications</b:Title>
    <b:Publisher>Emerald Group Publishing</b:Publisher>
    <b:City>New York</b:City>
    <b:Year>2013</b:Year>
    <b:Author>
      <b:Author>
        <b:NameList>
          <b:Person>
            <b:Last>Wankel</b:Last>
            <b:Middle>A.</b:Middle>
            <b:First>Laura</b:First>
          </b:Person>
        </b:NameList>
      </b:Author>
      <b:BookAuthor>
        <b:NameList>
          <b:Person>
            <b:Last>Blessinger</b:Last>
            <b:First>Patrick</b:First>
          </b:Person>
        </b:NameList>
      </b:BookAuthor>
    </b:Author>
    <b:RefOrder>6</b:RefOrder>
  </b:Source>
  <b:Source>
    <b:Tag>LZh04</b:Tag>
    <b:SourceType>Report</b:SourceType>
    <b:Guid>{FCB89C9D-BEC8-0D48-9772-7C7739B037C3}</b:Guid>
    <b:Title>The Effects of Various Animation Strategies in Facilitating the Achievement of Students on Tests Measuring Different Educational Objectives.</b:Title>
    <b:City>Chicago</b:City>
    <b:Publisher>ERIC</b:Publisher>
    <b:Year>2004</b:Year>
    <b:Month>October</b:Month>
    <b:Author>
      <b:Author>
        <b:NameList>
          <b:Person>
            <b:Last>L.</b:Last>
            <b:First>Zhu</b:First>
          </b:Person>
          <b:Person>
            <b:Last>Grabowski</b:Last>
            <b:First>B.</b:First>
          </b:Person>
        </b:NameList>
      </b:Author>
    </b:Author>
    <b:RefOrder>7</b:RefOrder>
  </b:Source>
  <b:Source>
    <b:Tag>Hua13</b:Tag>
    <b:SourceType>Report</b:SourceType>
    <b:Guid>{F5478532-DB52-D443-9761-CB6F04A207FC}</b:Guid>
    <b:Title>A practitioner's Guide to Gamification of Education</b:Title>
    <b:Publisher>Rotman School of Management</b:Publisher>
    <b:City>Toronto</b:City>
    <b:Year>2013</b:Year>
    <b:Author>
      <b:Author>
        <b:NameList>
          <b:Person>
            <b:Last>Huang</b:Last>
            <b:Middle>Hsin-Yuan</b:Middle>
            <b:First>Wendy</b:First>
          </b:Person>
          <b:Person>
            <b:Last>Soman</b:Last>
            <b:First>Dilip</b:First>
          </b:Person>
        </b:NameList>
      </b:Author>
    </b:Author>
    <b:RefOrder>8</b:RefOrder>
  </b:Source>
  <b:Source>
    <b:Tag>Gee08</b:Tag>
    <b:SourceType>Report</b:SourceType>
    <b:Guid>{0F6CF839-9BEB-B04A-8C83-6486DE183BB6}</b:Guid>
    <b:Title>The ecology of games: Connecting youth, games and learning.</b:Title>
    <b:Publisher>The MIT Press</b:Publisher>
    <b:City>Cambridge </b:City>
    <b:Year>2008</b:Year>
    <b:Author>
      <b:Author>
        <b:NameList>
          <b:Person>
            <b:Last>Gee</b:Last>
            <b:First>J.P</b:First>
          </b:Person>
        </b:NameList>
      </b:Author>
    </b:Author>
    <b:RefOrder>9</b:RefOrder>
  </b:Source>
  <b:Source>
    <b:Tag>Kra08</b:Tag>
    <b:SourceType>JournalArticle</b:SourceType>
    <b:Guid>{16076C5C-E0D1-4D48-9035-B825CD8C2B4D}</b:Guid>
    <b:Title>Students' engagement in first-year university</b:Title>
    <b:Year>2008</b:Year>
    <b:Pages>493-505</b:Pages>
    <b:JournalName>Assessment and Evaluation in Higher Education</b:JournalName>
    <b:Author>
      <b:Author>
        <b:NameList>
          <b:Person>
            <b:Last>Krause</b:Last>
            <b:First>K.L</b:First>
          </b:Person>
          <b:Person>
            <b:Last>Coates</b:Last>
            <b:First>H.</b:First>
          </b:Person>
        </b:NameList>
      </b:Author>
    </b:Author>
    <b:RefOrder>10</b:RefOrder>
  </b:Source>
  <b:Source>
    <b:Tag>Rob10</b:Tag>
    <b:SourceType>JournalArticle</b:SourceType>
    <b:Guid>{E7DFAAFE-143A-814B-9AD1-2F370F8A9D73}</b:Guid>
    <b:Title>New benchmarks in Higher Education: Student Engagement in Online Learning</b:Title>
    <b:JournalName>Journal of Education for Business</b:JournalName>
    <b:Year>2010</b:Year>
    <b:Pages>101-109</b:Pages>
    <b:Author>
      <b:Author>
        <b:NameList>
          <b:Person>
            <b:Last>Robinson</b:Last>
            <b:First>Chin Choo</b:First>
          </b:Person>
          <b:Person>
            <b:Last>Hullinger</b:Last>
            <b:First>Hallett</b:First>
          </b:Person>
        </b:NameList>
      </b:Author>
    </b:Author>
    <b:RefOrder>11</b:RefOrder>
  </b:Source>
  <b:Source>
    <b:Tag>Fie04</b:Tag>
    <b:SourceType>JournalArticle</b:SourceType>
    <b:Guid>{7451A3A4-C40B-C140-BDD1-1C08098B6538}</b:Guid>
    <b:Title>Transformative approaches to student voice: theoretical underpinnings, recalcitrant realities.</b:Title>
    <b:JournalName>British Educational Research Journal</b:JournalName>
    <b:Year>2004</b:Year>
    <b:Pages>295-311</b:Pages>
    <b:Author>
      <b:Author>
        <b:NameList>
          <b:Person>
            <b:Last>Fielding</b:Last>
            <b:First>M.</b:First>
          </b:Person>
        </b:NameList>
      </b:Author>
    </b:Author>
    <b:RefOrder>12</b:RefOrder>
  </b:Source>
  <b:Source>
    <b:Tag>Rob07</b:Tag>
    <b:SourceType>JournalArticle</b:SourceType>
    <b:Guid>{E6176DAA-F170-8C4E-ADC8-F380F6A491B8}</b:Guid>
    <b:Title>Theorizing student voice: values &amp; perspectives.</b:Title>
    <b:JournalName>Improving Schools</b:JournalName>
    <b:Year>2007</b:Year>
    <b:Volume>10</b:Volume>
    <b:Pages>5-17</b:Pages>
    <b:Author>
      <b:Author>
        <b:NameList>
          <b:Person>
            <b:Last>Robinson</b:Last>
            <b:First>C.</b:First>
          </b:Person>
          <b:Person>
            <b:Last>Taylor</b:Last>
            <b:First>C.</b:First>
          </b:Person>
        </b:NameList>
      </b:Author>
    </b:Author>
    <b:RefOrder>13</b:RefOrder>
  </b:Source>
  <b:Source>
    <b:Tag>Sal03</b:Tag>
    <b:SourceType>Book</b:SourceType>
    <b:Guid>{31EBD4C0-16E8-3340-A711-7C9BA9886691}</b:Guid>
    <b:Title>Rules of Play: Game design fundamentals.</b:Title>
    <b:Publisher>MIT Press</b:Publisher>
    <b:City>Cambridge</b:City>
    <b:Year>2003</b:Year>
    <b:Author>
      <b:Author>
        <b:NameList>
          <b:Person>
            <b:Last>Salen</b:Last>
            <b:First>K.</b:First>
          </b:Person>
          <b:Person>
            <b:Last>Zimmerman</b:Last>
            <b:First>E.</b:First>
          </b:Person>
        </b:NameList>
      </b:Author>
    </b:Author>
    <b:RefOrder>14</b:RefOrder>
  </b:Source>
  <b:Source>
    <b:Tag>Des16</b:Tag>
    <b:SourceType>JournalArticle</b:SourceType>
    <b:Guid>{6B2A9DB1-77A5-334D-8675-F03033586362}</b:Guid>
    <b:Title>Predictive Analytics: Nudging, Shoving, and Smacking Behaviours in Higher Education</b:Title>
    <b:Year>2016</b:Year>
    <b:Pages>1-11</b:Pages>
    <b:Month>August</b:Month>
    <b:JournalName>Why IT matters to Higher Education: Educause Review</b:JournalName>
    <b:Author>
      <b:Author>
        <b:NameList>
          <b:Person>
            <b:Last>Desouza</b:Last>
            <b:Middle>C</b:Middle>
            <b:First>Kevin</b:First>
          </b:Person>
          <b:Person>
            <b:Last>Smith</b:Last>
            <b:Middle>L.</b:Middle>
            <b:First>Kendra</b:First>
          </b:Person>
        </b:NameList>
      </b:Author>
    </b:Author>
    <b:RefOrder>15</b:RefOrder>
  </b:Source>
  <b:Source>
    <b:Tag>McG11</b:Tag>
    <b:SourceType>Book</b:SourceType>
    <b:Guid>{3F31D7B2-AC34-C442-BE68-C5A637F707E4}</b:Guid>
    <b:Title>Reality is Broken: Why games make us better and how they can change the world</b:Title>
    <b:Publisher>Penguin Press</b:Publisher>
    <b:City>New York</b:City>
    <b:Year>2011</b:Year>
    <b:Author>
      <b:Author>
        <b:NameList>
          <b:Person>
            <b:Last>McGonigal</b:Last>
            <b:First>Jane</b:First>
          </b:Person>
        </b:NameList>
      </b:Author>
    </b:Author>
    <b:StateProvince>NY</b:StateProvince>
    <b:RefOrder>16</b:RefOrder>
  </b:Source>
  <b:Source>
    <b:Tag>Klo09</b:Tag>
    <b:SourceType>InternetSite</b:SourceType>
    <b:Guid>{61685949-B9AE-3C46-B716-B2C02FD3950E}</b:Guid>
    <b:Title>Moving learning games forward</b:Title>
    <b:Publisher>MIT Press</b:Publisher>
    <b:Year>2009</b:Year>
    <b:InternetSiteTitle>MIT</b:InternetSiteTitle>
    <b:URL>http://education.mit.edu/papers/MovingLearningGamesForward_EdArcade.pdf</b:URL>
    <b:Month>Aug</b:Month>
    <b:Day>21</b:Day>
    <b:Author>
      <b:Author>
        <b:NameList>
          <b:Person>
            <b:Last>Klopfer</b:Last>
            <b:First>E.</b:First>
          </b:Person>
          <b:Person>
            <b:Last>Osterweil</b:Last>
            <b:First>S.</b:First>
          </b:Person>
          <b:Person>
            <b:Last>Salen</b:Last>
            <b:First>K.</b:First>
          </b:Person>
        </b:NameList>
      </b:Author>
    </b:Author>
    <b:RefOrder>17</b:RefOrder>
  </b:Source>
  <b:Source>
    <b:Tag>Zic11</b:Tag>
    <b:SourceType>Book</b:SourceType>
    <b:Guid>{F950F945-4ACF-284A-A4F1-E5E3289D133C}</b:Guid>
    <b:Title>Gamification by Design: Implementing Game Mechanics in Web and Mobile Apps</b:Title>
    <b:Year>2011</b:Year>
    <b:Author>
      <b:Author>
        <b:NameList>
          <b:Person>
            <b:Last>Zichermann</b:Last>
            <b:First>Gabe</b:First>
          </b:Person>
          <b:Person>
            <b:Last>Cunningham</b:Last>
            <b:First>Christopher</b:First>
          </b:Person>
        </b:NameList>
      </b:Author>
    </b:Author>
    <b:City>Cambridge</b:City>
    <b:Publisher>O'Reilly</b:Publisher>
    <b:RefOrder>18</b:RefOrder>
  </b:Source>
  <b:Source>
    <b:Tag>Mac11</b:Tag>
    <b:SourceType>DocumentFromInternetSite</b:SourceType>
    <b:Guid>{5C438E71-48AE-654E-AFDE-05F7040AF77C}</b:Guid>
    <b:Title>Gamification: A growing business to invigorate stale websites</b:Title>
    <b:Year>2011</b:Year>
    <b:InternetSiteTitle>Business Week</b:InternetSiteTitle>
    <b:URL>http://www.businessweek.com/magazine/content/11_05/b4213035403146.htm</b:URL>
    <b:Month>January</b:Month>
    <b:Day>19</b:Day>
    <b:Author>
      <b:Author>
        <b:NameList>
          <b:Person>
            <b:Last>MacMillian</b:Last>
          </b:Person>
        </b:NameList>
      </b:Author>
    </b:Author>
    <b:RefOrder>19</b:RefOrder>
  </b:Source>
  <b:Source>
    <b:Tag>Chr16</b:Tag>
    <b:SourceType>InternetSite</b:SourceType>
    <b:Guid>{7E2F8118-D361-415A-BE1B-73C7B18911B8}</b:Guid>
    <b:Title>How to Make Learning Easier than Cheating</b:Title>
    <b:Year>2016</b:Year>
    <b:Author>
      <b:Author>
        <b:NameList>
          <b:Person>
            <b:Last>Bhansali</b:Last>
            <b:First>Christopher</b:First>
            <b:Middle>Pedregal and Shreyans</b:Middle>
          </b:Person>
        </b:NameList>
      </b:Author>
    </b:Author>
    <b:URL>https://www.edsurge.com/news/2016-07-23-how-to-make-learning-easier-than-cheating</b:URL>
    <b:InternetSiteTitle>Edsurge</b:InternetSiteTitle>
    <b:RefOrder>20</b:RefOrder>
  </b:Source>
  <b:Source>
    <b:Tag>Mar17</b:Tag>
    <b:SourceType>Report</b:SourceType>
    <b:Guid>{C5F09A72-F59C-4984-AD87-E0B3255FBC6C}</b:Guid>
    <b:Author>
      <b:Author>
        <b:NameList>
          <b:Person>
            <b:Last>Marjolin</b:Last>
            <b:First>A</b:First>
          </b:Person>
          <b:Person>
            <b:Last>Muir</b:Last>
            <b:First>K</b:First>
          </b:Person>
          <b:Person>
            <b:Last>Ramai</b:Last>
            <b:First>I</b:First>
          </b:Person>
          <b:Person>
            <b:Last>Powell</b:Last>
            <b:First>A</b:First>
          </b:Person>
        </b:NameList>
      </b:Author>
    </b:Author>
    <b:Title>Why is financial stress increasing? Financial Resilience in Australia 2016 -Part 1</b:Title>
    <b:Year>2017</b:Year>
    <b:Publisher>Centre for Social Impact, UNSW.</b:Publisher>
    <b:City>Sydney</b:City>
    <b:RefOrder>21</b:RefOrder>
  </b:Source>
  <b:Source>
    <b:Tag>Mui15</b:Tag>
    <b:SourceType>Report</b:SourceType>
    <b:Guid>{4B6887BA-C02B-435A-B34D-971C40CC3F33}</b:Guid>
    <b:Title>Eitht years on the fringe: what has it meant to be severely of fully financially excluded in Australia?</b:Title>
    <b:Year>2015</b:Year>
    <b:Publisher>Centre for Social Impact for the National Australia Bank</b:Publisher>
    <b:City>Sydney</b:City>
    <b:Author>
      <b:Author>
        <b:NameList>
          <b:Person>
            <b:Last>Muir</b:Last>
            <b:First>K</b:First>
          </b:Person>
          <b:Person>
            <b:Last>Marjolin</b:Last>
            <b:First>A</b:First>
          </b:Person>
          <b:Person>
            <b:Last>Adams</b:Last>
            <b:First>S</b:First>
          </b:Person>
        </b:NameList>
      </b:Author>
    </b:Author>
    <b:RefOrder>22</b:RefOrder>
  </b:Source>
  <b:Source>
    <b:Tag>New00</b:Tag>
    <b:SourceType>JournalArticle</b:SourceType>
    <b:Guid>{5E45F1EB-20FF-4489-8BBD-DBACB12590B9}</b:Guid>
    <b:Title>Student poverty at The University Of Ballarat</b:Title>
    <b:Year>2000</b:Year>
    <b:JournalName>Australian Journal of Social Issues, issue 35</b:JournalName>
    <b:Pages> 35: 251–265</b:Pages>
    <b:Author>
      <b:Author>
        <b:NameList>
          <b:Person>
            <b:Last>Newton</b:Last>
            <b:First>J</b:First>
          </b:Person>
          <b:Person>
            <b:Last>Turale</b:Last>
            <b:First>S</b:First>
          </b:Person>
        </b:NameList>
      </b:Author>
    </b:Author>
    <b:RefOrder>23</b:RefOrder>
  </b:Source>
  <b:Source>
    <b:Tag>Uni17</b:Tag>
    <b:SourceType>ElectronicSource</b:SourceType>
    <b:Guid>{1E1BC42E-E7A1-4EAF-8CBB-67F8BCDF9A63}</b:Guid>
    <b:Title>LTSU Survey Data</b:Title>
    <b:Year>2017</b:Year>
    <b:Author>
      <b:Author>
        <b:Corporate>Student Union, La Trobe University </b:Corporate>
      </b:Author>
    </b:Author>
    <b:City>Melbourne</b:City>
    <b:StateProvince>Victoria</b:StateProvince>
    <b:CountryRegion>Australia</b:CountryRegion>
    <b:RefOrder>24</b:RefOrder>
  </b:Source>
  <b:Source>
    <b:Tag>Sel001</b:Tag>
    <b:SourceType>JournalArticle</b:SourceType>
    <b:Guid>{831312C2-2C09-4F43-B5C7-CFDB6A43CD1D}</b:Guid>
    <b:Title>Positive Psychology: An Introduction</b:Title>
    <b:JournalName>The American Psychologist, 55(1),</b:JournalName>
    <b:Year>2000</b:Year>
    <b:Pages>5-14</b:Pages>
    <b:Author>
      <b:Author>
        <b:NameList>
          <b:Person>
            <b:Last>Seligman</b:Last>
            <b:First>M</b:First>
          </b:Person>
          <b:Person>
            <b:Last>Csikszenzentmihalyi</b:Last>
            <b:First>M</b:First>
          </b:Person>
        </b:NameList>
      </b:Author>
    </b:Author>
    <b:RefOrder>1</b:RefOrder>
  </b:Source>
  <b:Source>
    <b:Tag>Lyu09</b:Tag>
    <b:SourceType>JournalArticle</b:SourceType>
    <b:Guid>{CC9CC3B7-9BA3-DD49-93C0-6C9B9139DEE8}</b:Guid>
    <b:Title>Enhancing Well-Being and Alleviating DepressiveSymptoms With Positive Psychology Interventions:A Practice-Friendly Meta-Analysis</b:Title>
    <b:JournalName>JOURNAL OF CLINICAL PSYCHOLOGY: </b:JournalName>
    <b:Year>2009</b:Year>
    <b:Pages>467-487</b:Pages>
    <b:Author>
      <b:Author>
        <b:NameList>
          <b:Person>
            <b:Last>Lyubomirsky</b:Last>
            <b:First>S</b:First>
          </b:Person>
          <b:Person>
            <b:Last>Sin</b:Last>
            <b:First>N</b:First>
          </b:Person>
        </b:NameList>
      </b:Author>
    </b:Author>
    <b:RefOrder>2</b:RefOrder>
  </b:Source>
  <b:Source>
    <b:Tag>Pra20</b:Tag>
    <b:SourceType>DocumentFromInternetSite</b:SourceType>
    <b:Guid>{D196862E-EC74-4632-99C4-8ED59B29D293}</b:Guid>
    <b:Title>Impact of COVID-19 on Students' Mental Health</b:Title>
    <b:Year>2020</b:Year>
    <b:Author>
      <b:Author>
        <b:NameList>
          <b:Person>
            <b:Last>Shukla</b:Last>
            <b:First>Pragati</b:First>
          </b:Person>
        </b:NameList>
      </b:Author>
    </b:Author>
    <b:InternetSiteTitle>Psychreg</b:InternetSiteTitle>
    <b:Month>August</b:Month>
    <b:Day>10</b:Day>
    <b:URL>https://www.psychreg.org/impact-of-covid-19-on-students-mental-health-and-well-being/</b:URL>
    <b:RefOrder>3</b:RefOrder>
  </b:Source>
  <b:Source>
    <b:Tag>CDS20</b:Tag>
    <b:SourceType>Report</b:SourceType>
    <b:Guid>{EF1A77F2-F50A-422A-BB31-21CC9D2E32A3}</b:Guid>
    <b:Title>Client Report: Jan - July </b:Title>
    <b:Year>2020</b:Year>
    <b:Author>
      <b:Author>
        <b:Corporate>CDS Database, Advocacy Dep't, LTSU.</b:Corporate>
      </b:Author>
    </b:Author>
    <b:RefOrder>4</b:RefOrder>
  </b:Source>
  <b:Source>
    <b:Tag>Wad15</b:Tag>
    <b:SourceType>Book</b:SourceType>
    <b:Guid>{0171C09F-5BF0-9543-859B-32AFC3EC2CCC}</b:Guid>
    <b:Title>Positive Psychology on the College Campus</b:Title>
    <b:Year>2015</b:Year>
    <b:City>London</b:City>
    <b:Publisher>Oxford University Press</b:Publisher>
    <b:Author>
      <b:Author>
        <b:NameList>
          <b:Person>
            <b:Last>Wade</b:Last>
            <b:First>J</b:First>
          </b:Person>
          <b:Person>
            <b:Last>Marks</b:Last>
            <b:First>L</b:First>
          </b:Person>
          <b:Person>
            <b:Last>Hetzel</b:Last>
            <b:First>R</b:First>
          </b:Person>
        </b:NameList>
      </b:Author>
    </b:Author>
    <b:RefOrder>5</b:RefOrder>
  </b:Source>
  <b:Source>
    <b:Tag>Nie181</b:Tag>
    <b:SourceType>Book</b:SourceType>
    <b:Guid>{5B48045E-4EDF-4645-8EA8-7927341AD3DB}</b:Guid>
    <b:Title>Character Strengths Interventions: A Field Guide for Practitioners</b:Title>
    <b:Publisher>Hogrefe</b:Publisher>
    <b:Year>2018</b:Year>
    <b:Author>
      <b:Author>
        <b:NameList>
          <b:Person>
            <b:Last>Niemiec</b:Last>
            <b:First>R</b:First>
          </b:Person>
        </b:NameList>
      </b:Author>
    </b:Author>
    <b:RefOrder>6</b:RefOrder>
  </b:Source>
  <b:Source>
    <b:Tag>VIA201</b:Tag>
    <b:SourceType>InternetSite</b:SourceType>
    <b:Guid>{475808EF-F1C2-C04C-8FE5-4EBF85D409F8}</b:Guid>
    <b:Title>Sharacter Strengths</b:Title>
    <b:InternetSiteTitle>VIA</b:InternetSiteTitle>
    <b:URL>https://www.viacharacter.org/</b:URL>
    <b:Year>2020</b:Year>
    <b:Month>April</b:Month>
    <b:Author>
      <b:Author>
        <b:Corporate>VIA Institute of Character</b:Corporate>
      </b:Author>
    </b:Author>
    <b:RefOrder>7</b:RefOrder>
  </b:Source>
  <b:Source>
    <b:Tag>Rya00</b:Tag>
    <b:SourceType>JournalArticle</b:SourceType>
    <b:Guid>{71A7E516-7E33-4C6C-A45B-A6F6344FDA09}</b:Guid>
    <b:Title>Self-Determination Theory and the Facilitation of Intrinsic Motivation, Social Development, and Well-Being</b:Title>
    <b:Year>2000</b:Year>
    <b:JournalName>American Psychologist</b:JournalName>
    <b:Pages>68-70</b:Pages>
    <b:Author>
      <b:Author>
        <b:NameList>
          <b:Person>
            <b:Last>Ryan</b:Last>
            <b:First>R</b:First>
          </b:Person>
          <b:Person>
            <b:Last>Deci</b:Last>
            <b:First>E</b:First>
          </b:Person>
        </b:NameList>
      </b:Author>
    </b:Author>
    <b:RefOrder>8</b:RefOrder>
  </b:Source>
  <b:Source>
    <b:Tag>ASI</b:Tag>
    <b:SourceType>InternetSite</b:SourceType>
    <b:Guid>{98EA15EE-866C-A04A-A3E4-49D7F80A6AF8}</b:Guid>
    <b:Title>Money Smart - student life and money</b:Title>
    <b:Author>
      <b:Author>
        <b:Corporate>ASIC</b:Corporate>
      </b:Author>
    </b:Author>
    <b:InternetSiteTitle>Money Smart</b:InternetSiteTitle>
    <b:URL>https://moneysmart.gov.au/student-life-and-money</b:URL>
    <b:Year>2020</b:Year>
    <b:Month>April</b:Month>
    <b:Day>10</b:Day>
    <b:RefOrder>9</b:RefOrder>
  </b:Source>
  <b:Source>
    <b:Tag>LaT20</b:Tag>
    <b:SourceType>InternetSite</b:SourceType>
    <b:Guid>{F03620BB-E596-3643-8AE1-12A2EE6D135E}</b:Guid>
    <b:Title>How can financial counselling help you as a student ?</b:Title>
    <b:Year>2020</b:Year>
    <b:InternetSiteTitle>La Trobe Student Union</b:InternetSiteTitle>
    <b:URL>https://latrobesu.org.au/financialcounselling</b:URL>
    <b:Month>April</b:Month>
    <b:Day>20</b:Day>
    <b:Author>
      <b:Author>
        <b:Corporate>La Trobe University, Student Union</b:Corporate>
      </b:Author>
    </b:Author>
    <b:City>Melbourne</b:City>
    <b:StateProvince>Vic</b:StateProvince>
    <b:CountryRegion>Australia</b:CountryRegion>
    <b:RefOrder>10</b:RefOrder>
  </b:Source>
  <b:Source>
    <b:Tag>Lom14</b:Tag>
    <b:SourceType>Book</b:SourceType>
    <b:Guid>{5F03313A-8CCD-2446-8C6A-609FC4C942A0}</b:Guid>
    <b:Title>Applied Positive Psychology:Integrated Positive Practice</b:Title>
    <b:Year>2014</b:Year>
    <b:Publisher>Sage Publications</b:Publisher>
    <b:Author>
      <b:Author>
        <b:NameList>
          <b:Person>
            <b:Last>Lomas</b:Last>
            <b:First>T</b:First>
          </b:Person>
          <b:Person>
            <b:Last>Hefferon</b:Last>
            <b:First>K</b:First>
          </b:Person>
          <b:Person>
            <b:Last>Ivtzan</b:Last>
            <b:First>I</b:First>
          </b:Person>
        </b:NameList>
      </b:Author>
    </b:Author>
    <b:RefOrder>12</b:RefOrder>
  </b:Source>
  <b:Source>
    <b:Tag>Oad11</b:Tag>
    <b:SourceType>JournalArticle</b:SourceType>
    <b:Guid>{133FC9DF-490E-B24A-87A8-218C43096368}</b:Guid>
    <b:Title>Towards a positive university</b:Title>
    <b:Year>2011</b:Year>
    <b:Author>
      <b:Author>
        <b:NameList>
          <b:Person>
            <b:Last>Oades</b:Last>
            <b:First>L</b:First>
          </b:Person>
          <b:Person>
            <b:Last>Robinson</b:Last>
            <b:First>P</b:First>
          </b:Person>
          <b:Person>
            <b:Last>Green</b:Last>
            <b:First>S</b:First>
          </b:Person>
          <b:Person>
            <b:Last>Spencer</b:Last>
            <b:First>G</b:First>
          </b:Person>
        </b:NameList>
      </b:Author>
    </b:Author>
    <b:JournalName>the Journal of Positive Psychology</b:JournalName>
    <b:Pages>434</b:Pages>
    <b:RefOrder>13</b:RefOrder>
  </b:Source>
  <b:Source>
    <b:Tag>Min20</b:Tag>
    <b:SourceType>InternetSite</b:SourceType>
    <b:Guid>{EC65CFA4-4947-3C46-8E59-C3562F2599C2}</b:Guid>
    <b:Title>Smiling Mind</b:Title>
    <b:Year>2020</b:Year>
    <b:Author>
      <b:Author>
        <b:Corporate>Mindfit at work</b:Corporate>
      </b:Author>
    </b:Author>
    <b:InternetSiteTitle>MindFit</b:InternetSiteTitle>
    <b:URL>https://www.mindfitatwork.com.au/</b:URL>
    <b:Month>May</b:Month>
    <b:Day>12</b:Day>
    <b:RefOrder>14</b:RefOrder>
  </b:Source>
  <b:Source>
    <b:Tag>Sun20</b:Tag>
    <b:SourceType>InternetSite</b:SourceType>
    <b:Guid>{29FF5FD1-77ED-0B44-8486-56966059D980}</b:Guid>
    <b:Author>
      <b:Author>
        <b:Corporate>Suncorp</b:Corporate>
      </b:Author>
    </b:Author>
    <b:Title>What really makes a happy person ?</b:Title>
    <b:InternetSiteTitle>Suncorp - money habits</b:InternetSiteTitle>
    <b:URL>https://www.suncorp.com.au/learn-about/health/what-makes-a-happy-person.html</b:URL>
    <b:Year>2020</b:Year>
    <b:Month>April</b:Month>
    <b:Day>15</b:Day>
    <b:RefOrder>15</b:RefOrder>
  </b:Source>
  <b:Source>
    <b:Tag>Flo20</b:Tag>
    <b:SourceType>DocumentFromInternetSite</b:SourceType>
    <b:Guid>{88411D5E-1AA6-D748-A30A-D2E49A0B8AAC}</b:Guid>
    <b:Title>SBS News</b:Title>
    <b:InternetSiteTitle>SBS</b:InternetSiteTitle>
    <b:URL>https://www.sbs.com.au/news/australia-s-international-students-are-going-hungry-with-60-per-cent-now-unemployed?cid=sbsnews:edm:newsam:relation:news:na:na  </b:URL>
    <b:Year>2020</b:Year>
    <b:Month>August</b:Month>
    <b:Day>17</b:Day>
    <b:Author>
      <b:Author>
        <b:NameList>
          <b:Person>
            <b:Last>Florez</b:Last>
            <b:First>C</b:First>
          </b:Person>
        </b:NameList>
      </b:Author>
    </b:Author>
    <b:RefOrder>11</b:RefOrder>
  </b:Source>
</b:Sources>
</file>

<file path=customXml/itemProps1.xml><?xml version="1.0" encoding="utf-8"?>
<ds:datastoreItem xmlns:ds="http://schemas.openxmlformats.org/officeDocument/2006/customXml" ds:itemID="{33BF65DE-5DC5-443B-A87A-73CBD83E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9474</Words>
  <Characters>55139</Characters>
  <Application>Microsoft Office Word</Application>
  <DocSecurity>0</DocSecurity>
  <Lines>848</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McHugh</dc:creator>
  <cp:keywords/>
  <dc:description/>
  <cp:lastModifiedBy>Nina Thomas</cp:lastModifiedBy>
  <cp:revision>2</cp:revision>
  <cp:lastPrinted>2021-05-06T02:15:00Z</cp:lastPrinted>
  <dcterms:created xsi:type="dcterms:W3CDTF">2026-05-23T03:59:00Z</dcterms:created>
  <dcterms:modified xsi:type="dcterms:W3CDTF">2026-05-23T03:59:00Z</dcterms:modified>
</cp:coreProperties>
</file>