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39C3A4" w14:textId="3E95ECF1" w:rsidR="00DF0F9C" w:rsidRDefault="00DF0F9C" w:rsidP="00DF0F9C">
      <w:pPr>
        <w:pStyle w:val="JANZSSAArticlehead"/>
        <w:contextualSpacing/>
      </w:pPr>
      <w:bookmarkStart w:id="0" w:name="_Hlk24277369"/>
      <w:r>
        <w:t xml:space="preserve">Reforming Higher Education for Equity: </w:t>
      </w:r>
    </w:p>
    <w:p w14:paraId="3E836BC7" w14:textId="4AE29D55" w:rsidR="002022FE" w:rsidRPr="00DC44E3" w:rsidRDefault="00DF0F9C" w:rsidP="00DF0F9C">
      <w:pPr>
        <w:pStyle w:val="JANZSSAArticlehead"/>
      </w:pPr>
      <w:r>
        <w:t>The Role of Evidence and Leadership</w:t>
      </w:r>
    </w:p>
    <w:p w14:paraId="5DC5ADDE" w14:textId="632EE274" w:rsidR="002022FE" w:rsidRPr="00667072" w:rsidRDefault="00DF0F9C" w:rsidP="00B50FA1">
      <w:pPr>
        <w:pStyle w:val="JANZSSAAuthor"/>
        <w:spacing w:before="240"/>
      </w:pPr>
      <w:r w:rsidRPr="00DF0F9C">
        <w:t>Shamit Saggar</w:t>
      </w:r>
    </w:p>
    <w:p w14:paraId="36CA45DD" w14:textId="1851F31B" w:rsidR="00E11809" w:rsidRPr="009608DC" w:rsidRDefault="005122AA" w:rsidP="009608DC">
      <w:pPr>
        <w:pStyle w:val="JANZSSAInstitution"/>
      </w:pPr>
      <w:r w:rsidRPr="005122AA">
        <w:t>Australian Centre for Student Equity and Success</w:t>
      </w:r>
      <w:r w:rsidR="00A667F6" w:rsidRPr="00A667F6">
        <w:t xml:space="preserve"> </w:t>
      </w:r>
    </w:p>
    <w:p w14:paraId="483BE3DB" w14:textId="0CD3F32E" w:rsidR="005122AA" w:rsidRDefault="005122AA" w:rsidP="009608DC">
      <w:pPr>
        <w:pStyle w:val="JANZSSAHeading2"/>
      </w:pPr>
      <w:r w:rsidRPr="009F52A3">
        <w:t>Abstract</w:t>
      </w:r>
    </w:p>
    <w:p w14:paraId="22403F9F" w14:textId="35509BA1" w:rsidR="005122AA" w:rsidRPr="00FB664B" w:rsidRDefault="00AC4CDC" w:rsidP="005122AA">
      <w:pPr>
        <w:pStyle w:val="JANZSSAAbstractBody"/>
        <w:rPr>
          <w:color w:val="000000"/>
        </w:rPr>
      </w:pPr>
      <w:r w:rsidRPr="00AC4CDC">
        <w:t xml:space="preserve">Over the past two decades, Australia’s higher education sector has experienced rapid growth, driven by the establishment of the demand-driven funding system for domestic enrolments in 2010 and increased international enrolments. This expansion has led to an increase in </w:t>
      </w:r>
      <w:r w:rsidR="00F83557" w:rsidRPr="00AC4CDC">
        <w:t xml:space="preserve">both </w:t>
      </w:r>
      <w:r w:rsidRPr="00AC4CDC">
        <w:t>domestic attainment and internationalisation, positioning higher education as a critical sector within the national economy. However, despite this growth, persistent challenges around student equity, leadership</w:t>
      </w:r>
      <w:r w:rsidR="00F83557">
        <w:t>,</w:t>
      </w:r>
      <w:r w:rsidRPr="00AC4CDC">
        <w:t xml:space="preserve"> and institutional accountability remain. This article explores how the Bradley Review’s reforms and subsequent policies have shaped student access and equity in Australian universities, with a focus on the limitations of existing programs. It also addresses the need for a renewed focus on evidence-based practices, highlighting how leadership can drive meaningful change in the sector. By examining these key issues, the article contributes to ongoing debates about the role of universities in social mobility and enhancing equitable outcomes.</w:t>
      </w:r>
    </w:p>
    <w:p w14:paraId="692C3FBC" w14:textId="77777777" w:rsidR="009608DC" w:rsidRDefault="005122AA" w:rsidP="009608DC">
      <w:pPr>
        <w:pStyle w:val="JANZSSAHeading2"/>
      </w:pPr>
      <w:r w:rsidRPr="00A74FAE">
        <w:t>Keywords</w:t>
      </w:r>
    </w:p>
    <w:p w14:paraId="7EDB6C3E" w14:textId="503BDCBA" w:rsidR="00AC4CDC" w:rsidRDefault="00AC4CDC" w:rsidP="00AA27E9">
      <w:pPr>
        <w:pStyle w:val="JANZSSABodycopy"/>
      </w:pPr>
      <w:r>
        <w:t>H</w:t>
      </w:r>
      <w:r w:rsidRPr="00AC4CDC">
        <w:t xml:space="preserve">igher education, </w:t>
      </w:r>
      <w:r>
        <w:t>S</w:t>
      </w:r>
      <w:r w:rsidRPr="00AC4CDC">
        <w:t xml:space="preserve">tudent equity, </w:t>
      </w:r>
      <w:r>
        <w:t>L</w:t>
      </w:r>
      <w:r w:rsidRPr="00AC4CDC">
        <w:t xml:space="preserve">eadership, </w:t>
      </w:r>
      <w:r>
        <w:t>E</w:t>
      </w:r>
      <w:r w:rsidRPr="00AC4CDC">
        <w:t xml:space="preserve">vidence-based practice, </w:t>
      </w:r>
      <w:r>
        <w:t>R</w:t>
      </w:r>
      <w:r w:rsidRPr="00AC4CDC">
        <w:t xml:space="preserve">eforms, Bradley Review, </w:t>
      </w:r>
      <w:r>
        <w:t>P</w:t>
      </w:r>
      <w:r w:rsidRPr="00AC4CDC">
        <w:t xml:space="preserve">rivilege, </w:t>
      </w:r>
      <w:r>
        <w:t>E</w:t>
      </w:r>
      <w:r w:rsidRPr="00AC4CDC">
        <w:t xml:space="preserve">valuation, </w:t>
      </w:r>
      <w:r>
        <w:t>A</w:t>
      </w:r>
      <w:r w:rsidRPr="00AC4CDC">
        <w:t xml:space="preserve">ccess, </w:t>
      </w:r>
      <w:r>
        <w:t>R</w:t>
      </w:r>
      <w:r w:rsidRPr="00AC4CDC">
        <w:t>etention, Australian Universities Accord</w:t>
      </w:r>
    </w:p>
    <w:p w14:paraId="1B67A2DC" w14:textId="77777777" w:rsidR="00F83557" w:rsidRDefault="00F83557" w:rsidP="00AA27E9">
      <w:pPr>
        <w:pStyle w:val="JANZSSABodycopy"/>
      </w:pPr>
    </w:p>
    <w:p w14:paraId="68E0F0A7" w14:textId="213DADA5" w:rsidR="00AC4CDC" w:rsidRDefault="00AC4CDC" w:rsidP="00AC4CDC">
      <w:pPr>
        <w:pStyle w:val="JANZSSABodycopy"/>
      </w:pPr>
      <w:r w:rsidRPr="00D3007E">
        <w:t>Australia</w:t>
      </w:r>
      <w:r>
        <w:t>’s</w:t>
      </w:r>
      <w:r w:rsidRPr="00D3007E">
        <w:t xml:space="preserve"> higher education </w:t>
      </w:r>
      <w:r w:rsidR="00960273">
        <w:t xml:space="preserve">sector </w:t>
      </w:r>
      <w:r w:rsidRPr="00D3007E">
        <w:t xml:space="preserve">has grown apace </w:t>
      </w:r>
      <w:r>
        <w:t>over the last</w:t>
      </w:r>
      <w:r w:rsidRPr="00D3007E">
        <w:t xml:space="preserve"> </w:t>
      </w:r>
      <w:r>
        <w:t>30</w:t>
      </w:r>
      <w:r w:rsidRPr="00D3007E">
        <w:t xml:space="preserve"> years</w:t>
      </w:r>
      <w:r>
        <w:t xml:space="preserve">. This represents the </w:t>
      </w:r>
      <w:r w:rsidRPr="00D3007E">
        <w:t xml:space="preserve">cumulative </w:t>
      </w:r>
      <w:r>
        <w:t xml:space="preserve">effect </w:t>
      </w:r>
      <w:r w:rsidRPr="00D3007E">
        <w:t>of</w:t>
      </w:r>
      <w:r>
        <w:t xml:space="preserve"> the expansion in domestic enrolments and the introduction of places for fee-paying international students that commenced in the late 1980s as part of the “Dawkins Reforms” (Croucher et </w:t>
      </w:r>
      <w:r w:rsidR="00411591">
        <w:t>a</w:t>
      </w:r>
      <w:r>
        <w:t>l.</w:t>
      </w:r>
      <w:r w:rsidR="00D130ED">
        <w:t>,</w:t>
      </w:r>
      <w:r>
        <w:t xml:space="preserve"> 2013) and</w:t>
      </w:r>
      <w:r w:rsidR="001248B6">
        <w:t>,</w:t>
      </w:r>
      <w:r>
        <w:t xml:space="preserve"> more recently, </w:t>
      </w:r>
      <w:r w:rsidRPr="00D3007E">
        <w:t xml:space="preserve">the </w:t>
      </w:r>
      <w:r>
        <w:t xml:space="preserve">introduction </w:t>
      </w:r>
      <w:r w:rsidRPr="00D3007E">
        <w:t xml:space="preserve">of </w:t>
      </w:r>
      <w:r>
        <w:t>the</w:t>
      </w:r>
      <w:r w:rsidRPr="00D3007E">
        <w:t xml:space="preserve"> demand-driven funding </w:t>
      </w:r>
      <w:r>
        <w:t>system</w:t>
      </w:r>
      <w:r w:rsidRPr="00D3007E">
        <w:t xml:space="preserve"> </w:t>
      </w:r>
      <w:r>
        <w:t xml:space="preserve">for domestic </w:t>
      </w:r>
      <w:r w:rsidRPr="00D3007E">
        <w:t>undergraduate</w:t>
      </w:r>
      <w:r>
        <w:t xml:space="preserve"> places following the 2008 </w:t>
      </w:r>
      <w:r w:rsidR="0072243D">
        <w:t>“</w:t>
      </w:r>
      <w:r>
        <w:t>Bradley Review</w:t>
      </w:r>
      <w:r w:rsidR="0072243D">
        <w:t>”</w:t>
      </w:r>
      <w:r>
        <w:t xml:space="preserve"> (Bradley</w:t>
      </w:r>
      <w:r w:rsidR="00411591">
        <w:t xml:space="preserve"> et al.</w:t>
      </w:r>
      <w:r>
        <w:t>, 2008).</w:t>
      </w:r>
      <w:r w:rsidRPr="00D3007E">
        <w:t xml:space="preserve"> </w:t>
      </w:r>
      <w:r w:rsidRPr="001248B6">
        <w:t>The sector has simultaneously recruited large numbers of international students,</w:t>
      </w:r>
      <w:r w:rsidRPr="00D3007E">
        <w:t xml:space="preserve"> notably from regional neighbours, resulting in some large metropolitan universities having </w:t>
      </w:r>
      <w:r>
        <w:t>up to</w:t>
      </w:r>
      <w:r w:rsidRPr="00D3007E">
        <w:t xml:space="preserve"> half of their enrolments from overseas</w:t>
      </w:r>
      <w:r>
        <w:t>,</w:t>
      </w:r>
      <w:r w:rsidRPr="00D3007E">
        <w:t xml:space="preserve"> </w:t>
      </w:r>
      <w:r>
        <w:t>generating</w:t>
      </w:r>
      <w:r w:rsidRPr="00D3007E">
        <w:t xml:space="preserve"> high revenues</w:t>
      </w:r>
      <w:r>
        <w:t xml:space="preserve"> from fees</w:t>
      </w:r>
      <w:r w:rsidRPr="00D3007E">
        <w:t>.</w:t>
      </w:r>
      <w:r>
        <w:t xml:space="preserve"> </w:t>
      </w:r>
    </w:p>
    <w:p w14:paraId="1430B766" w14:textId="1EE40C81" w:rsidR="00AC4CDC" w:rsidRPr="00D3007E" w:rsidRDefault="00AC4CDC" w:rsidP="00AC4CDC">
      <w:pPr>
        <w:pStyle w:val="JANZSSABodycopy"/>
      </w:pPr>
      <w:r>
        <w:t xml:space="preserve">By 2021, around 1.6 million students were enrolled in Australian higher education, of whom 1.16 million, or around 73%, were domestic students (Norton, 2023). </w:t>
      </w:r>
      <w:r w:rsidRPr="00D3007E">
        <w:t>What was once a humble sector of the national economy largely devoted to educating middle</w:t>
      </w:r>
      <w:r>
        <w:t>-</w:t>
      </w:r>
      <w:r w:rsidRPr="00D3007E">
        <w:t xml:space="preserve">class entrants has, in a generation, </w:t>
      </w:r>
      <w:r>
        <w:t>expanded to the extent that the Bradley Review’s target that by 2025, 40 per cent of 25- to 34-year-olds should have attained a bachelor’s degree or higher, has already been reached (Brett, 2018). This rise in domestic participation has been accompanied by the globalisation of Australian higher education, with around 440,000, or 27% of students, in 2021 being international fee-paying students, generating $8.7 billion in 2021, up from $1.6 billion in 2000 (</w:t>
      </w:r>
      <w:r w:rsidRPr="00086C99">
        <w:t>Australian Government</w:t>
      </w:r>
      <w:r w:rsidR="00411591">
        <w:t xml:space="preserve"> </w:t>
      </w:r>
      <w:r w:rsidR="00411591" w:rsidRPr="00411591">
        <w:t>Department of Education</w:t>
      </w:r>
      <w:r>
        <w:t>,</w:t>
      </w:r>
      <w:r w:rsidRPr="00086C99">
        <w:t xml:space="preserve"> 2024</w:t>
      </w:r>
      <w:r>
        <w:t>). U</w:t>
      </w:r>
      <w:r w:rsidRPr="00D3007E">
        <w:t>niversit</w:t>
      </w:r>
      <w:r>
        <w:t>y leaders</w:t>
      </w:r>
      <w:r w:rsidRPr="00D3007E">
        <w:t xml:space="preserve"> </w:t>
      </w:r>
      <w:r>
        <w:t>are increasingly</w:t>
      </w:r>
      <w:r w:rsidRPr="00D3007E">
        <w:t xml:space="preserve"> recruited</w:t>
      </w:r>
      <w:r w:rsidRPr="00C25487">
        <w:t>—</w:t>
      </w:r>
      <w:r w:rsidRPr="00D3007E">
        <w:t xml:space="preserve">and </w:t>
      </w:r>
      <w:r>
        <w:t xml:space="preserve">have </w:t>
      </w:r>
      <w:r w:rsidRPr="00D3007E">
        <w:t>succeeded in recruiting others</w:t>
      </w:r>
      <w:r w:rsidRPr="00C25487">
        <w:t>—</w:t>
      </w:r>
      <w:r w:rsidRPr="00D3007E">
        <w:t>from prestigious global higher education institutions and have made a point of the interoperability of their research outputs with those of the global knowledge economy.</w:t>
      </w:r>
    </w:p>
    <w:p w14:paraId="751CF8F0" w14:textId="574F0E3F" w:rsidR="00AC4CDC" w:rsidRPr="00D3007E" w:rsidRDefault="00AC4CDC" w:rsidP="00AC4CDC">
      <w:pPr>
        <w:pStyle w:val="JANZSSABodycopy"/>
      </w:pPr>
      <w:r w:rsidRPr="00D3007E">
        <w:t xml:space="preserve">At first glance, </w:t>
      </w:r>
      <w:r>
        <w:t xml:space="preserve">this progress has seen the </w:t>
      </w:r>
      <w:r w:rsidRPr="00D3007E">
        <w:t>higher education</w:t>
      </w:r>
      <w:r>
        <w:t xml:space="preserve"> sector </w:t>
      </w:r>
      <w:r w:rsidRPr="00D3007E">
        <w:t xml:space="preserve">lauded as an example of Australia at its best. </w:t>
      </w:r>
      <w:r>
        <w:t xml:space="preserve">Universities </w:t>
      </w:r>
      <w:r w:rsidRPr="00D3007E">
        <w:t>should be ideally placed to prosper further.</w:t>
      </w:r>
      <w:r>
        <w:t xml:space="preserve"> </w:t>
      </w:r>
      <w:r w:rsidRPr="00D3007E">
        <w:t>So, when a political opportunity crystallised</w:t>
      </w:r>
      <w:r>
        <w:t>,</w:t>
      </w:r>
      <w:r w:rsidRPr="00D3007E">
        <w:t xml:space="preserve"> as it did three years ago</w:t>
      </w:r>
      <w:r>
        <w:t>,</w:t>
      </w:r>
      <w:r w:rsidRPr="00D3007E">
        <w:t xml:space="preserve"> to plan for further ambitious expansion with the Australian Universities Accord </w:t>
      </w:r>
      <w:r w:rsidRPr="00E74723">
        <w:t>(</w:t>
      </w:r>
      <w:r w:rsidRPr="002F1406">
        <w:t>Australian Government</w:t>
      </w:r>
      <w:r w:rsidR="00411591">
        <w:t xml:space="preserve"> </w:t>
      </w:r>
      <w:r w:rsidR="00411591" w:rsidRPr="00411591">
        <w:t>Department of Education</w:t>
      </w:r>
      <w:r>
        <w:t>,</w:t>
      </w:r>
      <w:r w:rsidRPr="002F1406">
        <w:t xml:space="preserve"> 2024)</w:t>
      </w:r>
      <w:r w:rsidRPr="00D3007E">
        <w:t xml:space="preserve">, the scene might have been set for rapid progress. The </w:t>
      </w:r>
      <w:r>
        <w:t xml:space="preserve">sector’s sunny, reassuring façade </w:t>
      </w:r>
      <w:r w:rsidRPr="00D3007E">
        <w:t xml:space="preserve">has belied </w:t>
      </w:r>
      <w:r>
        <w:t>several</w:t>
      </w:r>
      <w:r w:rsidRPr="00D3007E">
        <w:t xml:space="preserve"> </w:t>
      </w:r>
      <w:r w:rsidRPr="00D3007E">
        <w:lastRenderedPageBreak/>
        <w:t>underlying weaknesses affect</w:t>
      </w:r>
      <w:r>
        <w:t>ing</w:t>
      </w:r>
      <w:r w:rsidRPr="00D3007E">
        <w:t xml:space="preserve"> many institutions</w:t>
      </w:r>
      <w:r>
        <w:t>,</w:t>
      </w:r>
      <w:r w:rsidRPr="00D3007E">
        <w:t xml:space="preserve"> contribut</w:t>
      </w:r>
      <w:r>
        <w:t>ing</w:t>
      </w:r>
      <w:r w:rsidRPr="00D3007E">
        <w:t xml:space="preserve"> to sluggish</w:t>
      </w:r>
      <w:r>
        <w:t xml:space="preserve"> progress </w:t>
      </w:r>
      <w:r w:rsidRPr="00D3007E">
        <w:t xml:space="preserve">and </w:t>
      </w:r>
      <w:r>
        <w:t xml:space="preserve">raising </w:t>
      </w:r>
      <w:r w:rsidRPr="00D3007E">
        <w:t>doubts about universities</w:t>
      </w:r>
      <w:r>
        <w:t>’ effectiveness</w:t>
      </w:r>
      <w:r w:rsidRPr="00D3007E">
        <w:t xml:space="preserve"> on a number of fronts. Three in particular stand out.</w:t>
      </w:r>
    </w:p>
    <w:p w14:paraId="1F77804D" w14:textId="4189206E" w:rsidR="00AC4CDC" w:rsidRPr="00D3007E" w:rsidRDefault="00AC4CDC" w:rsidP="00AC4CDC">
      <w:pPr>
        <w:pStyle w:val="JANZSSABodycopy"/>
      </w:pPr>
      <w:r w:rsidRPr="00D3007E">
        <w:t xml:space="preserve">The first comes from the recent past which paints a varied picture of the extent to which Australian universities have served the goal of greater student equity. Sixteen years </w:t>
      </w:r>
      <w:r>
        <w:t>ago</w:t>
      </w:r>
      <w:r w:rsidRPr="00D3007E">
        <w:t xml:space="preserve">, the Bradley Review </w:t>
      </w:r>
      <w:r>
        <w:t>(Bradley</w:t>
      </w:r>
      <w:r w:rsidR="00411591">
        <w:t xml:space="preserve"> et al.</w:t>
      </w:r>
      <w:r>
        <w:t>, 2008)</w:t>
      </w:r>
      <w:r w:rsidRPr="00D3007E">
        <w:rPr>
          <w:color w:val="4F81BD" w:themeColor="accent1"/>
        </w:rPr>
        <w:t xml:space="preserve"> </w:t>
      </w:r>
      <w:r w:rsidRPr="00D3007E">
        <w:t>put in train two important reforms designed to work in unison</w:t>
      </w:r>
      <w:r w:rsidR="001248B6">
        <w:t>. I</w:t>
      </w:r>
      <w:r w:rsidRPr="00D3007E">
        <w:t>n practice</w:t>
      </w:r>
      <w:r w:rsidR="001248B6">
        <w:t>, they</w:t>
      </w:r>
      <w:r w:rsidRPr="00D3007E">
        <w:t xml:space="preserve"> did not. On the one hand, Bradley delivered a demand-driven system for funding university student places. It was a radical departure from Australia’s block grant system that centrally planned and allocated places and funding. The extant approach was also something of a comforting cushion for universities</w:t>
      </w:r>
      <w:r>
        <w:t xml:space="preserve">, which </w:t>
      </w:r>
      <w:r w:rsidRPr="00D3007E">
        <w:t>generally believed national government</w:t>
      </w:r>
      <w:r>
        <w:t>-led</w:t>
      </w:r>
      <w:r w:rsidRPr="00D3007E">
        <w:t xml:space="preserve"> p</w:t>
      </w:r>
      <w:r>
        <w:t>lanning</w:t>
      </w:r>
      <w:r w:rsidRPr="00D3007E">
        <w:t xml:space="preserve"> </w:t>
      </w:r>
      <w:r>
        <w:t>alone</w:t>
      </w:r>
      <w:r w:rsidRPr="00D3007E">
        <w:t xml:space="preserve"> </w:t>
      </w:r>
      <w:r w:rsidRPr="004B03F4">
        <w:t>could drive</w:t>
      </w:r>
      <w:r w:rsidRPr="00D3007E">
        <w:t xml:space="preserve"> wider accessibility to their services. The other feature of Bradley was the proposal to set targets for individual universities to deliver a more equitable student base.</w:t>
      </w:r>
    </w:p>
    <w:p w14:paraId="7D55D387" w14:textId="44ADEB89" w:rsidR="00AC4CDC" w:rsidRPr="00D3007E" w:rsidRDefault="00AC4CDC" w:rsidP="00AC4CDC">
      <w:pPr>
        <w:pStyle w:val="JANZSSABodycopy"/>
      </w:pPr>
      <w:r w:rsidRPr="00D3007E">
        <w:t xml:space="preserve">The demand-driven system, though </w:t>
      </w:r>
      <w:r>
        <w:t xml:space="preserve">initially </w:t>
      </w:r>
      <w:r w:rsidRPr="00D3007E">
        <w:t xml:space="preserve">viewed with suspicion, has been associated with a </w:t>
      </w:r>
      <w:r>
        <w:t xml:space="preserve">slower-than-hoped-for but </w:t>
      </w:r>
      <w:r w:rsidRPr="00D3007E">
        <w:t xml:space="preserve">steady improvement in </w:t>
      </w:r>
      <w:r>
        <w:t xml:space="preserve">overall </w:t>
      </w:r>
      <w:r w:rsidRPr="00D3007E">
        <w:t>student equity</w:t>
      </w:r>
      <w:r>
        <w:t xml:space="preserve"> in terms of participation </w:t>
      </w:r>
      <w:r w:rsidRPr="00E74723">
        <w:t>(</w:t>
      </w:r>
      <w:r w:rsidRPr="00C33B71">
        <w:t>Australian Government</w:t>
      </w:r>
      <w:r w:rsidR="00411591" w:rsidRPr="00411591">
        <w:t xml:space="preserve"> Department of Education</w:t>
      </w:r>
      <w:r>
        <w:t>,</w:t>
      </w:r>
      <w:r w:rsidRPr="00C33B71">
        <w:t xml:space="preserve"> 2024)</w:t>
      </w:r>
      <w:r w:rsidR="001248B6">
        <w:t>.</w:t>
      </w:r>
      <w:r w:rsidRPr="00D3007E">
        <w:t xml:space="preserve"> Meanwhile, the failure to implement a targets regime meant the counterfactual (where Australian higher education </w:t>
      </w:r>
      <w:r w:rsidR="004D7E64" w:rsidRPr="00D3007E">
        <w:t xml:space="preserve">would </w:t>
      </w:r>
      <w:r w:rsidRPr="00D3007E">
        <w:t>have been with both) remains unknown.</w:t>
      </w:r>
    </w:p>
    <w:p w14:paraId="16FD5DAC" w14:textId="5F31BCDC" w:rsidR="00AC4CDC" w:rsidRPr="00D3007E" w:rsidRDefault="00AC4CDC" w:rsidP="00AC4CDC">
      <w:pPr>
        <w:pStyle w:val="JANZSSABodycopy"/>
      </w:pPr>
      <w:r w:rsidRPr="00D3007E">
        <w:t>Secondly, post-Bradley,</w:t>
      </w:r>
      <w:r>
        <w:t xml:space="preserve"> through the Higher Education Participation and Partnerships Program (HEPPP),</w:t>
      </w:r>
      <w:r w:rsidRPr="00D3007E">
        <w:t xml:space="preserve"> universities have tooled up and gained experience in developing and running programs to </w:t>
      </w:r>
      <w:r w:rsidRPr="00C25487">
        <w:t>open</w:t>
      </w:r>
      <w:r w:rsidRPr="00D3007E">
        <w:t xml:space="preserve"> recruitment </w:t>
      </w:r>
      <w:r>
        <w:t xml:space="preserve">up </w:t>
      </w:r>
      <w:r w:rsidRPr="00D3007E">
        <w:t xml:space="preserve">to a wider constituency and support </w:t>
      </w:r>
      <w:r w:rsidRPr="00C25487">
        <w:t xml:space="preserve">historically under-represented </w:t>
      </w:r>
      <w:r>
        <w:t xml:space="preserve">student </w:t>
      </w:r>
      <w:r w:rsidRPr="00C25487">
        <w:t>groups</w:t>
      </w:r>
      <w:r w:rsidRPr="00D3007E">
        <w:t xml:space="preserve"> through their studies. This is a discerning feature of Australian higher education and one that receives close </w:t>
      </w:r>
      <w:r>
        <w:t xml:space="preserve">to </w:t>
      </w:r>
      <w:r w:rsidRPr="00D3007E">
        <w:t>$150</w:t>
      </w:r>
      <w:r>
        <w:t xml:space="preserve"> </w:t>
      </w:r>
      <w:r w:rsidRPr="00D3007E">
        <w:t>m</w:t>
      </w:r>
      <w:r>
        <w:t>illion</w:t>
      </w:r>
      <w:r w:rsidRPr="00D3007E">
        <w:t xml:space="preserve"> </w:t>
      </w:r>
      <w:r>
        <w:t xml:space="preserve">annually in </w:t>
      </w:r>
      <w:r w:rsidRPr="00D3007E">
        <w:t>federal funding</w:t>
      </w:r>
      <w:r>
        <w:t>, albeit with an increasing focus on the evaluation of programs it funds (Robinson et al., 2021)</w:t>
      </w:r>
      <w:r w:rsidRPr="00D3007E">
        <w:t xml:space="preserve"> </w:t>
      </w:r>
    </w:p>
    <w:p w14:paraId="2BE3C71A" w14:textId="05BB44D4" w:rsidR="00AC4CDC" w:rsidRPr="00D3007E" w:rsidRDefault="00AC4CDC" w:rsidP="00AC4CDC">
      <w:pPr>
        <w:pStyle w:val="JANZSSABodycopy"/>
      </w:pPr>
      <w:r w:rsidRPr="00D3007E">
        <w:t>The bulk of equity intervention</w:t>
      </w:r>
      <w:r>
        <w:t>s</w:t>
      </w:r>
      <w:r w:rsidRPr="00D3007E">
        <w:t xml:space="preserve"> </w:t>
      </w:r>
      <w:r>
        <w:t>focus on</w:t>
      </w:r>
      <w:r w:rsidRPr="00D3007E">
        <w:t xml:space="preserve"> outreach </w:t>
      </w:r>
      <w:r>
        <w:t xml:space="preserve">efforts designed to </w:t>
      </w:r>
      <w:r w:rsidRPr="00D3007E">
        <w:t xml:space="preserve">demystify university education </w:t>
      </w:r>
      <w:r>
        <w:t>for</w:t>
      </w:r>
      <w:r w:rsidRPr="00D3007E">
        <w:t xml:space="preserve"> unfamiliar </w:t>
      </w:r>
      <w:r>
        <w:t>prospective</w:t>
      </w:r>
      <w:r w:rsidRPr="00D3007E">
        <w:t xml:space="preserve"> participants. In many instances</w:t>
      </w:r>
      <w:r w:rsidR="00AC3BCA">
        <w:t>,</w:t>
      </w:r>
      <w:r w:rsidRPr="00D3007E">
        <w:t xml:space="preserve"> this involves a combination of general awareness raising about universities and specific marketing to funnel any increased appetite to a specific university. It is a moot point whether, </w:t>
      </w:r>
      <w:r>
        <w:t>or to what extent</w:t>
      </w:r>
      <w:r w:rsidRPr="00D3007E">
        <w:t>, these programs may limit student choice</w:t>
      </w:r>
      <w:r>
        <w:t>. In</w:t>
      </w:r>
      <w:r w:rsidRPr="00D3007E">
        <w:t xml:space="preserve"> Queensland, </w:t>
      </w:r>
      <w:r>
        <w:t xml:space="preserve">for example, </w:t>
      </w:r>
      <w:r w:rsidRPr="00D3007E">
        <w:t>a soft concordant among the state’s universities has gone as far as a geographic division of labour to avoid duplication of effort and indirect competition between them</w:t>
      </w:r>
      <w:r>
        <w:t xml:space="preserve"> (Zacharias et al., 2018)</w:t>
      </w:r>
      <w:r w:rsidRPr="00D3007E">
        <w:t xml:space="preserve">. </w:t>
      </w:r>
    </w:p>
    <w:p w14:paraId="01B46D73" w14:textId="14552AEB" w:rsidR="00AC4CDC" w:rsidRPr="00D3007E" w:rsidRDefault="00AC4CDC" w:rsidP="00AC4CDC">
      <w:pPr>
        <w:pStyle w:val="JANZSSABodycopy"/>
      </w:pPr>
      <w:r w:rsidRPr="00D3007E">
        <w:t xml:space="preserve">Universities have additionally become more experienced in developing and rolling out post-admission support interventions designed to reduce attrition among new participating groups. In practical terms, marginal student groups can disproportionately benefit from mainstream programs aimed at smoothing university entrance and bonding as well as from initiatives that separate out these groups. It can be argued that the latter respond to additional, distinctive barriers to attainment and success. But it can also be argued that the biggest barriers affect students across the board. However, comparatively little is known about the interplay between these factors </w:t>
      </w:r>
      <w:r>
        <w:t>or</w:t>
      </w:r>
      <w:r w:rsidRPr="00D3007E">
        <w:t xml:space="preserve"> the impacts of different kinds of programs seeking to alleviate specific or general impediments to success.</w:t>
      </w:r>
    </w:p>
    <w:p w14:paraId="460B8659" w14:textId="69ECC42D" w:rsidR="00AC4CDC" w:rsidRDefault="00AC4CDC" w:rsidP="00AC4CDC">
      <w:pPr>
        <w:pStyle w:val="JANZSSABodycopy"/>
      </w:pPr>
      <w:r w:rsidRPr="00D3007E">
        <w:t xml:space="preserve">This raises a related issue that has obstructed Australian universities in responding to the Accord agenda, namely that of privilege. It is naïve to think of Australian universities in isolation from the compulsory education system in terms of the overall outcomes associated with higher education. </w:t>
      </w:r>
      <w:r>
        <w:t xml:space="preserve">This is because of the familiar refrain of university Vice-Chancellors when confronted with calls to ensure that their student bodies should become more of a microcosm of Australian society: “we don’t </w:t>
      </w:r>
      <w:r w:rsidR="00534F99">
        <w:t xml:space="preserve">run </w:t>
      </w:r>
      <w:r>
        <w:t>schools!” Their defence, in other words, is twofold: first, that the d</w:t>
      </w:r>
      <w:r w:rsidR="008844E1">
        <w:t>i</w:t>
      </w:r>
      <w:r>
        <w:t xml:space="preserve">e is cast much earlier in terms of acquiring educational qualifications to enter university, and second, there is a limit to what universities can do in a remedial sense to prepare poorly qualified students for a university education. </w:t>
      </w:r>
      <w:r w:rsidRPr="00D3007E">
        <w:t>Indeed, this point is well rehearsed in the literature when it comes to examining the higher education effects of poor secondary school attainment and access to high</w:t>
      </w:r>
      <w:r>
        <w:t>-</w:t>
      </w:r>
      <w:r w:rsidRPr="00D3007E">
        <w:t xml:space="preserve">performing </w:t>
      </w:r>
      <w:r w:rsidRPr="00D3007E">
        <w:lastRenderedPageBreak/>
        <w:t>schools. However, the effects of private and/or elite secondary schooling are more obscure. As Hamilton and Hamilton (2024: 176) argue, this involves the pernicious use of networks, contacts, and connectivity “acquired th</w:t>
      </w:r>
      <w:r w:rsidR="008844E1">
        <w:t>r</w:t>
      </w:r>
      <w:r w:rsidRPr="00D3007E">
        <w:t xml:space="preserve">ough school, family and social groups to gain preferential access to internships, jobs, board positions which help their finances and life opportunities”. In other words, there is at the least the perception of </w:t>
      </w:r>
      <w:r w:rsidR="008844E1">
        <w:t>“</w:t>
      </w:r>
      <w:r w:rsidRPr="00D3007E">
        <w:t>top universities</w:t>
      </w:r>
      <w:r w:rsidR="008844E1">
        <w:t>”</w:t>
      </w:r>
      <w:r>
        <w:t>,</w:t>
      </w:r>
      <w:r w:rsidRPr="00D3007E">
        <w:t xml:space="preserve"> which are part of a wider system of mutually reinforcing forces to further elite privilege.</w:t>
      </w:r>
    </w:p>
    <w:p w14:paraId="4EE801B9" w14:textId="7B22C6F2" w:rsidR="00AC4CDC" w:rsidRPr="00D3007E" w:rsidRDefault="00AC4CDC" w:rsidP="00AC4CDC">
      <w:pPr>
        <w:pStyle w:val="JANZSSABodycopy"/>
      </w:pPr>
      <w:r>
        <w:t xml:space="preserve">The challenges that follow from this allegation are numerous. For one thing, many Australian universities are confronted with an invidious tension between delivering effective student support programs outside the lecture theatre (study skills, library use, time management, </w:t>
      </w:r>
      <w:r w:rsidR="008844E1">
        <w:t xml:space="preserve">and </w:t>
      </w:r>
      <w:r>
        <w:t>group working</w:t>
      </w:r>
      <w:r w:rsidR="0070010F">
        <w:t>—</w:t>
      </w:r>
      <w:r>
        <w:t>all of which serve a strong support function) while leaving the core teaching functions of academic staff out of scope. For another, the perspective of student</w:t>
      </w:r>
      <w:r w:rsidR="0070010F">
        <w:t>s</w:t>
      </w:r>
      <w:r>
        <w:t xml:space="preserve"> from disadvantaged backgrounds may become diluted in favour of academic hierarchy (seeking more granular academic feedback on student progress</w:t>
      </w:r>
      <w:r w:rsidR="008844E1">
        <w:t>,</w:t>
      </w:r>
      <w:r>
        <w:t xml:space="preserve"> for example</w:t>
      </w:r>
      <w:r w:rsidR="008844E1">
        <w:t>,</w:t>
      </w:r>
      <w:r>
        <w:t xml:space="preserve"> is not typically cast as core to student support services). Finally, the root origins and methods of knowledge generation and accumulation by universities is scarcely open to negotiation with students who are typically cast as “here to learn [what we have to teach]”. Each of these kinds of tension indirectly create biases of their own that affect student equity. Moreover, the traditional structures of universities’ self-reflection and adaptation can also serve to mobilise such bias so that more equitable learning and access to knowledge remain marginal endeavours.</w:t>
      </w:r>
    </w:p>
    <w:p w14:paraId="7B19474E" w14:textId="312CE873" w:rsidR="00AC4CDC" w:rsidRPr="00D3007E" w:rsidRDefault="00AC4CDC" w:rsidP="00AC4CDC">
      <w:pPr>
        <w:pStyle w:val="JANZSSABodycopy"/>
      </w:pPr>
      <w:r w:rsidRPr="00D3007E">
        <w:t>Universities</w:t>
      </w:r>
      <w:r>
        <w:t xml:space="preserve">, </w:t>
      </w:r>
      <w:r w:rsidRPr="00D3007E">
        <w:t>not just Australian ones</w:t>
      </w:r>
      <w:r>
        <w:t xml:space="preserve">, </w:t>
      </w:r>
      <w:r w:rsidRPr="00D3007E">
        <w:t>are caught in a dilemma here. Some argue vehemently that it is not the role of universities to single-handedly overcome the biases, preferences</w:t>
      </w:r>
      <w:r w:rsidR="00AD1636">
        <w:t>,</w:t>
      </w:r>
      <w:r w:rsidRPr="00D3007E">
        <w:t xml:space="preserve"> and prejudices that surround them, a viewpoint that can appear tone deaf given the interlocking patterns between some institutions and some secondary schools. A concession many such universities have been willing to advance has been to experiment in ways to shake up the recruitment pools of the traditional professions and corporate big businesses</w:t>
      </w:r>
      <w:r>
        <w:t xml:space="preserve"> (Saggar et al., 2016)</w:t>
      </w:r>
      <w:r w:rsidR="00AD1636">
        <w:t>.</w:t>
      </w:r>
      <w:r>
        <w:rPr>
          <w:color w:val="4F81BD" w:themeColor="accent1"/>
        </w:rPr>
        <w:t xml:space="preserve"> </w:t>
      </w:r>
      <w:r w:rsidRPr="00D3007E">
        <w:t xml:space="preserve">The approach is a popular one in that under-represented student groups are keen and willing to take on the accoutrements of personal advancement. </w:t>
      </w:r>
    </w:p>
    <w:p w14:paraId="630D9674" w14:textId="48D9C5DE" w:rsidR="00AC4CDC" w:rsidRPr="00D3007E" w:rsidRDefault="00AC4CDC" w:rsidP="00AC4CDC">
      <w:pPr>
        <w:pStyle w:val="JANZSSABodycopy"/>
      </w:pPr>
      <w:r>
        <w:t>However, this</w:t>
      </w:r>
      <w:r w:rsidRPr="00D3007E">
        <w:t xml:space="preserve"> approach is limited </w:t>
      </w:r>
      <w:r>
        <w:t xml:space="preserve">to promoting a greater </w:t>
      </w:r>
      <w:r w:rsidRPr="00D3007E">
        <w:t xml:space="preserve">circulation of elites as opposed </w:t>
      </w:r>
      <w:r>
        <w:t xml:space="preserve">to </w:t>
      </w:r>
      <w:r w:rsidRPr="00D3007E">
        <w:t xml:space="preserve">tackling </w:t>
      </w:r>
      <w:r>
        <w:t>the</w:t>
      </w:r>
      <w:r w:rsidRPr="00D3007E">
        <w:t xml:space="preserve"> structures and processes</w:t>
      </w:r>
      <w:r>
        <w:t xml:space="preserve"> that produce them</w:t>
      </w:r>
      <w:r w:rsidRPr="00D3007E">
        <w:t>. Furthermore, many across the student equity sector are intellectually committed to a social justice lens when it comes to the role of universities</w:t>
      </w:r>
      <w:r>
        <w:t xml:space="preserve">. As a result, they are </w:t>
      </w:r>
      <w:r w:rsidRPr="00D3007E">
        <w:t xml:space="preserve">necessarily hostile to </w:t>
      </w:r>
      <w:r>
        <w:t>the idea of universities continuing to generate and support elites,</w:t>
      </w:r>
      <w:r w:rsidRPr="00D3007E">
        <w:t xml:space="preserve"> </w:t>
      </w:r>
      <w:r>
        <w:t>regardless of whether these elites are new or old</w:t>
      </w:r>
      <w:r w:rsidRPr="00D3007E">
        <w:t>.</w:t>
      </w:r>
    </w:p>
    <w:p w14:paraId="29950124" w14:textId="1E83F9AD" w:rsidR="00AC4CDC" w:rsidRPr="00D3007E" w:rsidRDefault="00AC4CDC" w:rsidP="00AC4CDC">
      <w:pPr>
        <w:pStyle w:val="JANZSSABodycopy"/>
      </w:pPr>
      <w:r w:rsidRPr="00D3007E">
        <w:t xml:space="preserve">This disagreement </w:t>
      </w:r>
      <w:r>
        <w:t>creates</w:t>
      </w:r>
      <w:r w:rsidRPr="00D3007E">
        <w:t xml:space="preserve"> a </w:t>
      </w:r>
      <w:r>
        <w:t>fundamental</w:t>
      </w:r>
      <w:r w:rsidRPr="00D3007E">
        <w:t xml:space="preserve"> schism </w:t>
      </w:r>
      <w:r>
        <w:t>within</w:t>
      </w:r>
      <w:r w:rsidRPr="00D3007E">
        <w:t xml:space="preserve"> student equity policy and</w:t>
      </w:r>
      <w:r w:rsidR="00AD1636">
        <w:t>,</w:t>
      </w:r>
      <w:r w:rsidRPr="00D3007E">
        <w:t xml:space="preserve"> </w:t>
      </w:r>
      <w:r>
        <w:t>in particular</w:t>
      </w:r>
      <w:r w:rsidR="00AD1636">
        <w:t>,</w:t>
      </w:r>
      <w:r>
        <w:t xml:space="preserve"> </w:t>
      </w:r>
      <w:r w:rsidRPr="00D3007E">
        <w:t xml:space="preserve">the relationship between the student equity sector and the larger higher education sector. It is at least one of the reasons for </w:t>
      </w:r>
      <w:r w:rsidR="0070010F">
        <w:t xml:space="preserve">a </w:t>
      </w:r>
      <w:r w:rsidRPr="00D3007E">
        <w:t>frequent disconnect between senior leadership</w:t>
      </w:r>
      <w:r>
        <w:t xml:space="preserve"> of universities, </w:t>
      </w:r>
      <w:r w:rsidRPr="00D3007E">
        <w:t>who have grown more accustomed to the commercial sector</w:t>
      </w:r>
      <w:r>
        <w:t xml:space="preserve">, </w:t>
      </w:r>
      <w:r w:rsidRPr="00D3007E">
        <w:t>and the leaders of on-campus student equity programs.</w:t>
      </w:r>
    </w:p>
    <w:p w14:paraId="0B3589C4" w14:textId="480E256F" w:rsidR="00AC4CDC" w:rsidRPr="00D3007E" w:rsidRDefault="00AC4CDC" w:rsidP="00AC4CDC">
      <w:pPr>
        <w:pStyle w:val="JANZSSABodycopy"/>
      </w:pPr>
      <w:r w:rsidRPr="00D3007E">
        <w:t>Notwithstanding this tension, there is an opportunity here for a concerted evidence-based approach to support better student equity outcomes. This is because all sides agree federally</w:t>
      </w:r>
      <w:r>
        <w:t xml:space="preserve"> f</w:t>
      </w:r>
      <w:r w:rsidRPr="00D3007E">
        <w:t>unded programs that aim to lift access, retention</w:t>
      </w:r>
      <w:r w:rsidR="00AD1636">
        <w:t>,</w:t>
      </w:r>
      <w:r w:rsidRPr="00D3007E">
        <w:t xml:space="preserve"> and graduation outcomes should be as effective as possible. In order to </w:t>
      </w:r>
      <w:r w:rsidR="00AD1636">
        <w:t>achieve this</w:t>
      </w:r>
      <w:r w:rsidRPr="00D3007E">
        <w:t>, a new focus of evaluation is at the heart of the relationship the federal government is seeking to build with universities on student equity. There is also, as my colleague Patricia Vermillion</w:t>
      </w:r>
      <w:r>
        <w:t xml:space="preserve"> </w:t>
      </w:r>
      <w:r w:rsidRPr="00D3007E">
        <w:t>Peirce</w:t>
      </w:r>
      <w:r w:rsidR="003437F4">
        <w:t xml:space="preserve"> (2024)</w:t>
      </w:r>
      <w:r w:rsidRPr="00D3007E">
        <w:t xml:space="preserve"> argues, the opportunity to utilise the fruits of evaluation to </w:t>
      </w:r>
      <w:r>
        <w:t>instil</w:t>
      </w:r>
      <w:r w:rsidRPr="00D3007E">
        <w:t xml:space="preserve"> a greater culture of innovation and policy contestability. This is part of a longer-term effort to shift to an evaluative </w:t>
      </w:r>
      <w:r>
        <w:t>“</w:t>
      </w:r>
      <w:r w:rsidRPr="00D3007E">
        <w:t>what works</w:t>
      </w:r>
      <w:r>
        <w:t>”</w:t>
      </w:r>
      <w:r w:rsidRPr="00D3007E">
        <w:t xml:space="preserve"> culture in Australian public policy</w:t>
      </w:r>
      <w:r>
        <w:t xml:space="preserve"> (Bajkowski, </w:t>
      </w:r>
      <w:r w:rsidRPr="006F56E3">
        <w:t>2024)</w:t>
      </w:r>
      <w:r w:rsidRPr="00A91F87">
        <w:t>,</w:t>
      </w:r>
      <w:r w:rsidRPr="006F56E3">
        <w:t xml:space="preserve"> ensuring greater efficacy overall, not just in universities’ pursuit of inclusion and equity. The larger shift</w:t>
      </w:r>
      <w:r w:rsidRPr="00D3007E">
        <w:t xml:space="preserve"> in emphasis is to be welcomed because it nests the evaluation revolution in universities in a pattern that goes </w:t>
      </w:r>
      <w:r w:rsidRPr="00D3007E">
        <w:lastRenderedPageBreak/>
        <w:t>well beyond the sector and is increasingly embedded, funded in</w:t>
      </w:r>
      <w:r>
        <w:t>,</w:t>
      </w:r>
      <w:r w:rsidRPr="00D3007E">
        <w:t xml:space="preserve"> and led by the long-term priorities of the </w:t>
      </w:r>
      <w:r>
        <w:t>f</w:t>
      </w:r>
      <w:r w:rsidRPr="00D3007E">
        <w:t>ederal Treasury</w:t>
      </w:r>
      <w:r>
        <w:t xml:space="preserve"> (Leigh, 2024)</w:t>
      </w:r>
      <w:r w:rsidR="0070010F">
        <w:t>.</w:t>
      </w:r>
      <w:r w:rsidRPr="00D3007E">
        <w:t xml:space="preserve"> </w:t>
      </w:r>
    </w:p>
    <w:p w14:paraId="4096F369" w14:textId="3F4B3F95" w:rsidR="00AC4CDC" w:rsidRPr="00D3007E" w:rsidRDefault="00AC4CDC" w:rsidP="00AC4CDC">
      <w:pPr>
        <w:pStyle w:val="JANZSSABodycopy"/>
      </w:pPr>
      <w:r w:rsidRPr="00D3007E">
        <w:t>The third source of doubt over Australian higher education</w:t>
      </w:r>
      <w:r>
        <w:t xml:space="preserve"> </w:t>
      </w:r>
      <w:r w:rsidRPr="00D3007E">
        <w:t>stems from its sense of accountability. This is a nuanced point and should be handled with sensitivity. It should not be confused with the essential autonomy of an old</w:t>
      </w:r>
      <w:r>
        <w:t xml:space="preserve">, </w:t>
      </w:r>
      <w:r w:rsidRPr="00D3007E">
        <w:t>even ancient</w:t>
      </w:r>
      <w:r>
        <w:t>,</w:t>
      </w:r>
      <w:r w:rsidRPr="00D3007E">
        <w:t xml:space="preserve"> profession reared in its pursuit of knowledge and learning, and its guardianship of the accompanying processes and milestone</w:t>
      </w:r>
      <w:r w:rsidR="00AD1636">
        <w:t>s</w:t>
      </w:r>
      <w:r w:rsidRPr="00D3007E">
        <w:t xml:space="preserve"> of advancement of students and scholars alike.</w:t>
      </w:r>
    </w:p>
    <w:p w14:paraId="28D21362" w14:textId="39739370" w:rsidR="00AC4CDC" w:rsidRPr="00D3007E" w:rsidRDefault="00AC4CDC" w:rsidP="00AC4CDC">
      <w:pPr>
        <w:pStyle w:val="JANZSSABodycopy"/>
      </w:pPr>
      <w:r w:rsidRPr="00D3007E">
        <w:t>However, Australian universities are far from autonomous in practice. To start with, the best part of $11</w:t>
      </w:r>
      <w:r>
        <w:t xml:space="preserve"> </w:t>
      </w:r>
      <w:r w:rsidRPr="00D3007E">
        <w:t>b</w:t>
      </w:r>
      <w:r>
        <w:t>illio</w:t>
      </w:r>
      <w:r w:rsidRPr="00D3007E">
        <w:t>n is spent each year by the federal government through the Commonwealth Supported Places</w:t>
      </w:r>
      <w:r>
        <w:t xml:space="preserve"> (CSP)</w:t>
      </w:r>
      <w:r w:rsidRPr="00D3007E">
        <w:t xml:space="preserve"> scheme that acts as the bedrock of domestic undergraduate demand. This prompts a public interest rationale for </w:t>
      </w:r>
      <w:r>
        <w:t xml:space="preserve">assessment of </w:t>
      </w:r>
      <w:r w:rsidRPr="00D3007E">
        <w:t xml:space="preserve">the effectiveness of universities in producing </w:t>
      </w:r>
      <w:r w:rsidRPr="00C25487">
        <w:t>highly</w:t>
      </w:r>
      <w:r>
        <w:t xml:space="preserve"> educated</w:t>
      </w:r>
      <w:r w:rsidRPr="00D3007E">
        <w:t xml:space="preserve"> graduates, </w:t>
      </w:r>
      <w:r>
        <w:t xml:space="preserve">examining </w:t>
      </w:r>
      <w:r w:rsidRPr="00D3007E">
        <w:t xml:space="preserve">the social and economic spread of those who go </w:t>
      </w:r>
      <w:r>
        <w:t xml:space="preserve">to </w:t>
      </w:r>
      <w:r w:rsidRPr="00D3007E">
        <w:t xml:space="preserve">and succeed </w:t>
      </w:r>
      <w:r>
        <w:t xml:space="preserve">at </w:t>
      </w:r>
      <w:r w:rsidRPr="00D3007E">
        <w:t>universit</w:t>
      </w:r>
      <w:r>
        <w:t>y</w:t>
      </w:r>
      <w:r w:rsidRPr="00D3007E">
        <w:t xml:space="preserve">, and, crucially, </w:t>
      </w:r>
      <w:r>
        <w:t xml:space="preserve">evaluating </w:t>
      </w:r>
      <w:r w:rsidRPr="00D3007E">
        <w:t xml:space="preserve">the labour market </w:t>
      </w:r>
      <w:r>
        <w:t>outcomes</w:t>
      </w:r>
      <w:r w:rsidRPr="00D3007E">
        <w:t xml:space="preserve"> of Australian graduates</w:t>
      </w:r>
      <w:r>
        <w:t>,</w:t>
      </w:r>
      <w:r w:rsidRPr="00D3007E">
        <w:t xml:space="preserve"> including </w:t>
      </w:r>
      <w:r>
        <w:t>those</w:t>
      </w:r>
      <w:r w:rsidRPr="00D3007E">
        <w:t xml:space="preserve"> from </w:t>
      </w:r>
      <w:r>
        <w:t xml:space="preserve">more </w:t>
      </w:r>
      <w:r w:rsidRPr="00D3007E">
        <w:t xml:space="preserve">marginal backgrounds. Furthermore, the dedicated funds allocated to support interventions and the higher costs of educating disadvantaged groups are </w:t>
      </w:r>
      <w:r>
        <w:t>set to rise further as part of forthcoming reforms</w:t>
      </w:r>
      <w:r w:rsidRPr="00D3007E">
        <w:t>.</w:t>
      </w:r>
    </w:p>
    <w:p w14:paraId="5986D216" w14:textId="023F342A" w:rsidR="00AC4CDC" w:rsidRPr="00D3007E" w:rsidRDefault="00AC4CDC" w:rsidP="00AC4CDC">
      <w:pPr>
        <w:pStyle w:val="JANZSSABodycopy"/>
      </w:pPr>
      <w:r w:rsidRPr="00D3007E">
        <w:t xml:space="preserve">The accountability agenda also extends to the changing social purpose of universities. In Australia, </w:t>
      </w:r>
      <w:r>
        <w:t xml:space="preserve">the </w:t>
      </w:r>
      <w:r w:rsidRPr="00D3007E">
        <w:t>historic and substantial growth in student numbers has been closely linked to labour market instrumentality</w:t>
      </w:r>
      <w:r>
        <w:t>. Therefore, i</w:t>
      </w:r>
      <w:r w:rsidRPr="00D3007E">
        <w:t xml:space="preserve">t is </w:t>
      </w:r>
      <w:r>
        <w:t>un</w:t>
      </w:r>
      <w:r w:rsidRPr="00D3007E">
        <w:t xml:space="preserve">surprising </w:t>
      </w:r>
      <w:r>
        <w:t xml:space="preserve">that </w:t>
      </w:r>
      <w:r w:rsidRPr="00D3007E">
        <w:t xml:space="preserve">the opportunity to </w:t>
      </w:r>
      <w:r>
        <w:t xml:space="preserve">pursue a degree and </w:t>
      </w:r>
      <w:r w:rsidRPr="00D3007E">
        <w:t xml:space="preserve">the </w:t>
      </w:r>
      <w:r>
        <w:t xml:space="preserve">associated </w:t>
      </w:r>
      <w:r w:rsidRPr="00D3007E">
        <w:t xml:space="preserve">rewards </w:t>
      </w:r>
      <w:r>
        <w:t>dominate</w:t>
      </w:r>
      <w:r w:rsidRPr="00D3007E">
        <w:t xml:space="preserve"> political debates about the value of higher education</w:t>
      </w:r>
      <w:r>
        <w:t>, much</w:t>
      </w:r>
      <w:r w:rsidRPr="00D3007E">
        <w:t xml:space="preserve"> like any other sector. This is difficult terrain for universities</w:t>
      </w:r>
      <w:r w:rsidR="00EA591A">
        <w:t>,</w:t>
      </w:r>
      <w:r w:rsidRPr="00D3007E">
        <w:t xml:space="preserve"> </w:t>
      </w:r>
      <w:r>
        <w:t>which</w:t>
      </w:r>
      <w:r w:rsidRPr="00D3007E">
        <w:t xml:space="preserve"> are acutely aware of the non-tangible benefits of higher learning</w:t>
      </w:r>
      <w:r>
        <w:t>,</w:t>
      </w:r>
      <w:r w:rsidRPr="00D3007E">
        <w:t xml:space="preserve"> as well as the wider societal benefits of larger numbers of graduates. </w:t>
      </w:r>
    </w:p>
    <w:p w14:paraId="5B77E17E" w14:textId="776FCF20" w:rsidR="00AC4CDC" w:rsidRDefault="00AC4CDC" w:rsidP="00AC4CDC">
      <w:pPr>
        <w:pStyle w:val="JANZSSABodycopy"/>
      </w:pPr>
      <w:r w:rsidRPr="00D3007E">
        <w:t>Nevertheless, while Australia’s universities have grown, they have not obviously flourished</w:t>
      </w:r>
      <w:r>
        <w:t>,</w:t>
      </w:r>
      <w:r w:rsidRPr="00D3007E">
        <w:t xml:space="preserve"> and the shallow roots of higher education in </w:t>
      </w:r>
      <w:r>
        <w:t xml:space="preserve">Australian </w:t>
      </w:r>
      <w:r w:rsidRPr="00D3007E">
        <w:t>society are both a cause and symptom of this.</w:t>
      </w:r>
    </w:p>
    <w:p w14:paraId="5E7B9BC1" w14:textId="4535DC65" w:rsidR="00AC4CDC" w:rsidRDefault="00AC4CDC" w:rsidP="00AC4CDC">
      <w:pPr>
        <w:pStyle w:val="JANZSSABodycopy"/>
      </w:pPr>
      <w:r>
        <w:t xml:space="preserve">All of which is to say that the core purpose of the Australian higher education remains contested territory and the values underpinning the Accord have </w:t>
      </w:r>
      <w:r w:rsidR="001F0B9B">
        <w:t xml:space="preserve">brought </w:t>
      </w:r>
      <w:r>
        <w:t>this question to light. The dominant and default purpose being addressed by the Accord is the availability of a secure future supply of better educated workers. This is common with supply side reforms to education right across the developed world, and increasingly in fast-moving emerging economies. Related to this will become the proximity of an advanced, knowledge-based economy, a factor that weighs heavily on future-oriented business interests. This unavoidably raises a hidden threat</w:t>
      </w:r>
      <w:r w:rsidR="001F0B9B">
        <w:t>,</w:t>
      </w:r>
      <w:r>
        <w:t xml:space="preserve"> that such proximity will come with even greater rewards for individuals and businesses that exacerbates relative rewards without such proximity. More highly skilled workers accompanied by even better returns </w:t>
      </w:r>
      <w:r w:rsidR="00534F99">
        <w:t>on</w:t>
      </w:r>
      <w:r>
        <w:t xml:space="preserve"> those skills</w:t>
      </w:r>
      <w:r w:rsidR="001F0B9B">
        <w:t>,</w:t>
      </w:r>
      <w:r>
        <w:t xml:space="preserve"> as well as a sharpening of the career navigation skills of some, is a powerful combination.</w:t>
      </w:r>
    </w:p>
    <w:p w14:paraId="4575FF84" w14:textId="059F5CB4" w:rsidR="00AC4CDC" w:rsidRPr="00D3007E" w:rsidRDefault="00AC4CDC" w:rsidP="00AC4CDC">
      <w:pPr>
        <w:pStyle w:val="JANZSSABodycopy"/>
      </w:pPr>
      <w:r>
        <w:t xml:space="preserve">Little of this matters if future managed growth in higher education is designed and delivered in ways that bring disadvantaged groups into the realigned priorities of the economy that is being driven by the Accord. This involves a clear focus on participation and student progression but also points to the widening differentials that will follow from the higher skills and awareness of particular future graduates </w:t>
      </w:r>
      <w:r w:rsidR="00534F99">
        <w:t>compared to</w:t>
      </w:r>
      <w:r>
        <w:t xml:space="preserve"> the remainder. The current student equity agenda is lagging behind this challenge at present. Better equity outcomes involve rethinking the degree to which social inclusion rationale for equity can </w:t>
      </w:r>
      <w:r w:rsidR="00A851FE">
        <w:t xml:space="preserve">be </w:t>
      </w:r>
      <w:r>
        <w:t>made in isolation from wider structural economic change.</w:t>
      </w:r>
    </w:p>
    <w:p w14:paraId="34754132" w14:textId="6AD11A29" w:rsidR="00AC4CDC" w:rsidRPr="00D3007E" w:rsidRDefault="00AC4CDC" w:rsidP="00AC4CDC">
      <w:pPr>
        <w:pStyle w:val="JANZSSABodycopy"/>
      </w:pPr>
      <w:r w:rsidRPr="00D3007E">
        <w:t>The next phase in Australian higher education promises a managed growth model</w:t>
      </w:r>
      <w:r>
        <w:t xml:space="preserve">, </w:t>
      </w:r>
      <w:r w:rsidRPr="00D3007E">
        <w:t>aiming to double domestic undergraduate numbers within a generation</w:t>
      </w:r>
      <w:r>
        <w:t>, where</w:t>
      </w:r>
      <w:r w:rsidRPr="00D3007E">
        <w:t xml:space="preserve"> opportunities for disadvantaged groups are baked into that growth. It is a tantalising prospect for those already committed to student equity</w:t>
      </w:r>
      <w:r>
        <w:t>,</w:t>
      </w:r>
      <w:r w:rsidRPr="00D3007E">
        <w:t xml:space="preserve"> but a fragile one for those </w:t>
      </w:r>
      <w:r>
        <w:t xml:space="preserve">who </w:t>
      </w:r>
      <w:r w:rsidRPr="00D3007E">
        <w:t xml:space="preserve">are not and are quarrelsome about the measures that may be used to pursue this vision. </w:t>
      </w:r>
    </w:p>
    <w:p w14:paraId="3717F2D4" w14:textId="0D9C03F6" w:rsidR="00AC4CDC" w:rsidRPr="00D3007E" w:rsidRDefault="00AC4CDC" w:rsidP="00AC4CDC">
      <w:pPr>
        <w:pStyle w:val="JANZSSABodycopy"/>
      </w:pPr>
      <w:r w:rsidRPr="00D3007E">
        <w:lastRenderedPageBreak/>
        <w:t>Making a solid start to ascertain what is working well to support access, retention</w:t>
      </w:r>
      <w:r w:rsidR="00087B7A">
        <w:t>,</w:t>
      </w:r>
      <w:r w:rsidRPr="00D3007E">
        <w:t xml:space="preserve"> and success</w:t>
      </w:r>
      <w:r w:rsidRPr="00C25487">
        <w:t>—</w:t>
      </w:r>
      <w:r>
        <w:t>with the work of the Australian Centre for Student Equity and Success (ACSES)</w:t>
      </w:r>
      <w:r w:rsidRPr="00D3007E">
        <w:t xml:space="preserve"> being central to all 39</w:t>
      </w:r>
      <w:r w:rsidR="00534F99">
        <w:t xml:space="preserve"> public</w:t>
      </w:r>
      <w:r w:rsidRPr="00D3007E">
        <w:t xml:space="preserve"> institutions</w:t>
      </w:r>
      <w:r w:rsidRPr="00C25487">
        <w:t>—</w:t>
      </w:r>
      <w:r w:rsidRPr="00D3007E">
        <w:t>is a minimum bar for university leaders. It will ensure effort</w:t>
      </w:r>
      <w:r>
        <w:t>s</w:t>
      </w:r>
      <w:r w:rsidRPr="00D3007E">
        <w:t xml:space="preserve"> </w:t>
      </w:r>
      <w:r>
        <w:t>are</w:t>
      </w:r>
      <w:r w:rsidRPr="00D3007E">
        <w:t xml:space="preserve"> concentrated and focused on </w:t>
      </w:r>
      <w:r>
        <w:t xml:space="preserve">distilling improvements in </w:t>
      </w:r>
      <w:r w:rsidRPr="00D3007E">
        <w:t>student outcomes.</w:t>
      </w:r>
    </w:p>
    <w:p w14:paraId="2CCB826A" w14:textId="0F8082AC" w:rsidR="00AC4CDC" w:rsidRDefault="00AC4CDC" w:rsidP="00AC4CDC">
      <w:pPr>
        <w:pStyle w:val="JANZSSABodycopy"/>
      </w:pPr>
      <w:r>
        <w:t xml:space="preserve">For universities to uphold their </w:t>
      </w:r>
      <w:r w:rsidRPr="00D3007E">
        <w:t xml:space="preserve">social licence </w:t>
      </w:r>
      <w:r>
        <w:t>and fulfil their mission</w:t>
      </w:r>
      <w:r w:rsidRPr="00D3007E">
        <w:t xml:space="preserve"> </w:t>
      </w:r>
      <w:r>
        <w:t>of</w:t>
      </w:r>
      <w:r w:rsidRPr="00D3007E">
        <w:t xml:space="preserve"> educat</w:t>
      </w:r>
      <w:r>
        <w:t>ing</w:t>
      </w:r>
      <w:r w:rsidRPr="00D3007E">
        <w:t xml:space="preserve"> future generation</w:t>
      </w:r>
      <w:r>
        <w:t>s</w:t>
      </w:r>
      <w:r w:rsidRPr="00D3007E">
        <w:t xml:space="preserve"> </w:t>
      </w:r>
      <w:r>
        <w:t xml:space="preserve">while serving as a </w:t>
      </w:r>
      <w:r w:rsidRPr="00D3007E">
        <w:t>major engine of social mobility</w:t>
      </w:r>
      <w:r>
        <w:t xml:space="preserve">, their leaders will be required to do much more. This begins with </w:t>
      </w:r>
      <w:r w:rsidRPr="00D3007E">
        <w:t xml:space="preserve">a fresh narrative </w:t>
      </w:r>
      <w:r>
        <w:t xml:space="preserve">that emphasises equally </w:t>
      </w:r>
      <w:r w:rsidRPr="00D3007E">
        <w:t>the personal and social transformative role</w:t>
      </w:r>
      <w:r w:rsidR="00087B7A">
        <w:t>s</w:t>
      </w:r>
      <w:r w:rsidRPr="00D3007E">
        <w:t xml:space="preserve"> of education.</w:t>
      </w:r>
    </w:p>
    <w:p w14:paraId="39ED3471" w14:textId="77777777" w:rsidR="00AC4CDC" w:rsidRDefault="00AC4CDC">
      <w:pPr>
        <w:rPr>
          <w:rFonts w:eastAsia="Times New Roman"/>
          <w:color w:val="212121"/>
          <w:lang w:eastAsia="en-GB"/>
        </w:rPr>
      </w:pPr>
      <w:r>
        <w:rPr>
          <w:rFonts w:eastAsia="Times New Roman"/>
          <w:color w:val="212121"/>
          <w:lang w:eastAsia="en-GB"/>
        </w:rPr>
        <w:br w:type="page"/>
      </w:r>
    </w:p>
    <w:p w14:paraId="615D0556" w14:textId="40DBBCF8" w:rsidR="00AD4620" w:rsidRPr="004744D5" w:rsidRDefault="00AD4620" w:rsidP="009608DC">
      <w:pPr>
        <w:pStyle w:val="JANZSSAHeading2"/>
      </w:pPr>
      <w:r w:rsidRPr="004744D5">
        <w:lastRenderedPageBreak/>
        <w:t>References</w:t>
      </w:r>
    </w:p>
    <w:p w14:paraId="158D66B6" w14:textId="631457E4" w:rsidR="00AC4CDC" w:rsidRDefault="00AC4CDC" w:rsidP="00AC4CDC">
      <w:pPr>
        <w:pStyle w:val="JANZSSAreferences"/>
      </w:pPr>
      <w:bookmarkStart w:id="1" w:name="_Hlk180744596"/>
      <w:r w:rsidRPr="00023E00">
        <w:t>Australian Government</w:t>
      </w:r>
      <w:r w:rsidR="003437F4">
        <w:t xml:space="preserve"> Department of Education.</w:t>
      </w:r>
      <w:r w:rsidRPr="00023E00">
        <w:t xml:space="preserve"> (202</w:t>
      </w:r>
      <w:r>
        <w:t>4</w:t>
      </w:r>
      <w:bookmarkEnd w:id="1"/>
      <w:r w:rsidRPr="00023E00">
        <w:t xml:space="preserve">). </w:t>
      </w:r>
      <w:r w:rsidRPr="00023E00">
        <w:rPr>
          <w:i/>
          <w:iCs/>
        </w:rPr>
        <w:t>Australian Universities Accord</w:t>
      </w:r>
      <w:r w:rsidR="003437F4">
        <w:rPr>
          <w:i/>
          <w:iCs/>
        </w:rPr>
        <w:t>:</w:t>
      </w:r>
      <w:r w:rsidRPr="00023E00">
        <w:rPr>
          <w:i/>
          <w:iCs/>
        </w:rPr>
        <w:t xml:space="preserve"> </w:t>
      </w:r>
      <w:r>
        <w:rPr>
          <w:i/>
          <w:iCs/>
        </w:rPr>
        <w:t>F</w:t>
      </w:r>
      <w:r w:rsidR="003437F4">
        <w:rPr>
          <w:i/>
          <w:iCs/>
        </w:rPr>
        <w:t>ina</w:t>
      </w:r>
      <w:r>
        <w:rPr>
          <w:i/>
          <w:iCs/>
        </w:rPr>
        <w:t>l</w:t>
      </w:r>
      <w:r w:rsidRPr="00023E00">
        <w:rPr>
          <w:i/>
          <w:iCs/>
        </w:rPr>
        <w:t xml:space="preserve"> </w:t>
      </w:r>
      <w:r w:rsidR="003437F4">
        <w:rPr>
          <w:i/>
          <w:iCs/>
        </w:rPr>
        <w:t>r</w:t>
      </w:r>
      <w:r w:rsidRPr="00023E00">
        <w:rPr>
          <w:i/>
          <w:iCs/>
        </w:rPr>
        <w:t>eport</w:t>
      </w:r>
      <w:r w:rsidRPr="00023E00">
        <w:t>.</w:t>
      </w:r>
      <w:r>
        <w:t xml:space="preserve"> </w:t>
      </w:r>
      <w:r w:rsidRPr="00AC4CDC">
        <w:t>https://www.education.gov.au/accord-final-report</w:t>
      </w:r>
    </w:p>
    <w:p w14:paraId="6CAA008C" w14:textId="336FB675" w:rsidR="00AC4CDC" w:rsidRDefault="00AC4CDC" w:rsidP="00AC4CDC">
      <w:pPr>
        <w:pStyle w:val="JANZSSAreferences"/>
      </w:pPr>
      <w:r>
        <w:t>Bajkowski, J. (2024</w:t>
      </w:r>
      <w:r w:rsidR="003437F4">
        <w:t>, June 17</w:t>
      </w:r>
      <w:r>
        <w:t xml:space="preserve">). </w:t>
      </w:r>
      <w:r w:rsidRPr="00534F99">
        <w:rPr>
          <w:i/>
          <w:iCs/>
        </w:rPr>
        <w:t>‘Leigh’s ‘</w:t>
      </w:r>
      <w:proofErr w:type="spellStart"/>
      <w:r w:rsidRPr="00534F99">
        <w:rPr>
          <w:i/>
          <w:iCs/>
        </w:rPr>
        <w:t>randomistas</w:t>
      </w:r>
      <w:proofErr w:type="spellEnd"/>
      <w:r w:rsidRPr="00534F99">
        <w:rPr>
          <w:i/>
          <w:iCs/>
        </w:rPr>
        <w:t>’ secure major philanthropic backing’</w:t>
      </w:r>
      <w:r w:rsidR="003437F4">
        <w:t>.</w:t>
      </w:r>
      <w:r>
        <w:t xml:space="preserve"> The Mandarin</w:t>
      </w:r>
      <w:r w:rsidR="003437F4">
        <w:t>.</w:t>
      </w:r>
      <w:r w:rsidR="003437F4" w:rsidRPr="003437F4">
        <w:t xml:space="preserve"> https://www.themandarin.com.au/248617-australian-centre-evaluation-funding-paul-ramsay-foundation/</w:t>
      </w:r>
      <w:r w:rsidR="003437F4">
        <w:t xml:space="preserve"> </w:t>
      </w:r>
    </w:p>
    <w:p w14:paraId="50E3F00C" w14:textId="5B72A05E" w:rsidR="00AC4CDC" w:rsidRDefault="00AC4CDC" w:rsidP="00AC4CDC">
      <w:pPr>
        <w:pStyle w:val="JANZSSAreferences"/>
      </w:pPr>
      <w:r w:rsidRPr="002A07DE">
        <w:t>Bradley, D.</w:t>
      </w:r>
      <w:r w:rsidR="003437F4" w:rsidRPr="003437F4">
        <w:t>, Noonan,</w:t>
      </w:r>
      <w:r w:rsidR="003437F4">
        <w:t xml:space="preserve"> P.,</w:t>
      </w:r>
      <w:r w:rsidR="003437F4" w:rsidRPr="003437F4">
        <w:t xml:space="preserve"> Nugent, </w:t>
      </w:r>
      <w:r w:rsidR="003437F4">
        <w:t xml:space="preserve">H., &amp; </w:t>
      </w:r>
      <w:r w:rsidR="003437F4" w:rsidRPr="003437F4">
        <w:t>Scales</w:t>
      </w:r>
      <w:r w:rsidR="003437F4">
        <w:t>, B.</w:t>
      </w:r>
      <w:r w:rsidRPr="002A07DE">
        <w:t xml:space="preserve"> (2008). </w:t>
      </w:r>
      <w:r w:rsidRPr="002F1406">
        <w:rPr>
          <w:i/>
          <w:iCs/>
        </w:rPr>
        <w:t xml:space="preserve">Review of </w:t>
      </w:r>
      <w:r w:rsidR="003437F4">
        <w:rPr>
          <w:i/>
          <w:iCs/>
        </w:rPr>
        <w:t>Australian h</w:t>
      </w:r>
      <w:r w:rsidRPr="002F1406">
        <w:rPr>
          <w:i/>
          <w:iCs/>
        </w:rPr>
        <w:t xml:space="preserve">igher </w:t>
      </w:r>
      <w:r w:rsidR="003437F4">
        <w:rPr>
          <w:i/>
          <w:iCs/>
        </w:rPr>
        <w:t>e</w:t>
      </w:r>
      <w:r w:rsidRPr="002F1406">
        <w:rPr>
          <w:i/>
          <w:iCs/>
        </w:rPr>
        <w:t xml:space="preserve">ducation: Final </w:t>
      </w:r>
      <w:r w:rsidR="003437F4">
        <w:rPr>
          <w:i/>
          <w:iCs/>
        </w:rPr>
        <w:t>r</w:t>
      </w:r>
      <w:r w:rsidRPr="002F1406">
        <w:rPr>
          <w:i/>
          <w:iCs/>
        </w:rPr>
        <w:t>eport</w:t>
      </w:r>
      <w:r w:rsidRPr="002A07DE">
        <w:t xml:space="preserve">. </w:t>
      </w:r>
      <w:r w:rsidR="003437F4" w:rsidRPr="002A07DE">
        <w:t xml:space="preserve">Canberra: </w:t>
      </w:r>
      <w:r w:rsidRPr="002A07DE">
        <w:t>Department of Education, Employment and Workplace Relations.</w:t>
      </w:r>
      <w:r>
        <w:t xml:space="preserve"> </w:t>
      </w:r>
      <w:r w:rsidRPr="00023E00">
        <w:t xml:space="preserve"> </w:t>
      </w:r>
    </w:p>
    <w:p w14:paraId="77B0AE81" w14:textId="22CE5988" w:rsidR="00AC4CDC" w:rsidRPr="007A4FBD" w:rsidRDefault="00AC4CDC" w:rsidP="00AC4CDC">
      <w:pPr>
        <w:pStyle w:val="JANZSSAreferences"/>
        <w:rPr>
          <w:rFonts w:eastAsia="Times New Roman"/>
          <w:color w:val="000000" w:themeColor="text1"/>
          <w:lang w:eastAsia="en-GB"/>
        </w:rPr>
      </w:pPr>
      <w:r>
        <w:rPr>
          <w:rFonts w:eastAsia="Times New Roman"/>
          <w:color w:val="000000" w:themeColor="text1"/>
          <w:lang w:eastAsia="en-GB"/>
        </w:rPr>
        <w:t xml:space="preserve">Brett, M. (2018). </w:t>
      </w:r>
      <w:r>
        <w:rPr>
          <w:rFonts w:eastAsia="Times New Roman"/>
          <w:i/>
          <w:iCs/>
          <w:color w:val="000000" w:themeColor="text1"/>
          <w:lang w:eastAsia="en-GB"/>
        </w:rPr>
        <w:t>Equity performance and accountability</w:t>
      </w:r>
      <w:r>
        <w:rPr>
          <w:rFonts w:eastAsia="Times New Roman"/>
          <w:color w:val="000000" w:themeColor="text1"/>
          <w:lang w:eastAsia="en-GB"/>
        </w:rPr>
        <w:t>. Perth</w:t>
      </w:r>
      <w:r w:rsidR="003437F4">
        <w:rPr>
          <w:rFonts w:eastAsia="Times New Roman"/>
          <w:color w:val="000000" w:themeColor="text1"/>
          <w:lang w:eastAsia="en-GB"/>
        </w:rPr>
        <w:t>:</w:t>
      </w:r>
      <w:r>
        <w:rPr>
          <w:rFonts w:eastAsia="Times New Roman"/>
          <w:color w:val="000000" w:themeColor="text1"/>
          <w:lang w:eastAsia="en-GB"/>
        </w:rPr>
        <w:t xml:space="preserve"> National Centre for Student Equity in Higher Education.</w:t>
      </w:r>
      <w:r w:rsidR="00590877">
        <w:rPr>
          <w:rFonts w:eastAsia="Times New Roman"/>
          <w:color w:val="000000" w:themeColor="text1"/>
          <w:lang w:eastAsia="en-GB"/>
        </w:rPr>
        <w:t xml:space="preserve"> </w:t>
      </w:r>
      <w:r w:rsidRPr="00AC4CDC">
        <w:rPr>
          <w:rFonts w:eastAsia="Times New Roman"/>
          <w:lang w:eastAsia="en-GB"/>
        </w:rPr>
        <w:t>https://www.acses.edu.au/app/uploads/2018/07/MattBrett_FellowshipReport_FINAL_ACCESSIBLE.pdf</w:t>
      </w:r>
      <w:r>
        <w:rPr>
          <w:rFonts w:eastAsia="Times New Roman"/>
          <w:color w:val="000000" w:themeColor="text1"/>
          <w:lang w:eastAsia="en-GB"/>
        </w:rPr>
        <w:t xml:space="preserve">  </w:t>
      </w:r>
    </w:p>
    <w:p w14:paraId="001C0B99" w14:textId="041DCF3E" w:rsidR="00AC4CDC" w:rsidRPr="002F1406" w:rsidRDefault="00AC4CDC" w:rsidP="00AC4CDC">
      <w:pPr>
        <w:pStyle w:val="JANZSSAreferences"/>
        <w:rPr>
          <w:rFonts w:eastAsia="Times New Roman"/>
          <w:color w:val="000000" w:themeColor="text1"/>
          <w:lang w:eastAsia="en-GB"/>
        </w:rPr>
      </w:pPr>
      <w:r w:rsidRPr="002F1406">
        <w:rPr>
          <w:rFonts w:eastAsia="Times New Roman"/>
          <w:color w:val="000000" w:themeColor="text1"/>
          <w:lang w:eastAsia="en-GB"/>
        </w:rPr>
        <w:t xml:space="preserve">Croucher, </w:t>
      </w:r>
      <w:r w:rsidR="003437F4">
        <w:rPr>
          <w:rFonts w:eastAsia="Times New Roman"/>
          <w:color w:val="000000" w:themeColor="text1"/>
          <w:lang w:eastAsia="en-GB"/>
        </w:rPr>
        <w:t xml:space="preserve">G., </w:t>
      </w:r>
      <w:proofErr w:type="spellStart"/>
      <w:r w:rsidRPr="002F1406">
        <w:rPr>
          <w:rFonts w:eastAsia="Times New Roman"/>
          <w:color w:val="000000" w:themeColor="text1"/>
          <w:lang w:eastAsia="en-GB"/>
        </w:rPr>
        <w:t>Marginson</w:t>
      </w:r>
      <w:proofErr w:type="spellEnd"/>
      <w:r w:rsidRPr="002F1406">
        <w:rPr>
          <w:rFonts w:eastAsia="Times New Roman"/>
          <w:color w:val="000000" w:themeColor="text1"/>
          <w:lang w:eastAsia="en-GB"/>
        </w:rPr>
        <w:t xml:space="preserve">, </w:t>
      </w:r>
      <w:r w:rsidR="003437F4">
        <w:rPr>
          <w:rFonts w:eastAsia="Times New Roman"/>
          <w:color w:val="000000" w:themeColor="text1"/>
          <w:lang w:eastAsia="en-GB"/>
        </w:rPr>
        <w:t xml:space="preserve">S., </w:t>
      </w:r>
      <w:r w:rsidRPr="002F1406">
        <w:rPr>
          <w:rFonts w:eastAsia="Times New Roman"/>
          <w:color w:val="000000" w:themeColor="text1"/>
          <w:lang w:eastAsia="en-GB"/>
        </w:rPr>
        <w:t>Norton</w:t>
      </w:r>
      <w:r w:rsidR="003437F4">
        <w:rPr>
          <w:rFonts w:eastAsia="Times New Roman"/>
          <w:color w:val="000000" w:themeColor="text1"/>
          <w:lang w:eastAsia="en-GB"/>
        </w:rPr>
        <w:t>, A.</w:t>
      </w:r>
      <w:r w:rsidRPr="002F1406">
        <w:rPr>
          <w:rFonts w:eastAsia="Times New Roman"/>
          <w:color w:val="000000" w:themeColor="text1"/>
          <w:lang w:eastAsia="en-GB"/>
        </w:rPr>
        <w:t xml:space="preserve">, </w:t>
      </w:r>
      <w:r w:rsidR="003437F4">
        <w:rPr>
          <w:rFonts w:eastAsia="Times New Roman"/>
          <w:color w:val="000000" w:themeColor="text1"/>
          <w:lang w:eastAsia="en-GB"/>
        </w:rPr>
        <w:t>&amp;</w:t>
      </w:r>
      <w:r w:rsidRPr="002F1406">
        <w:rPr>
          <w:rFonts w:eastAsia="Times New Roman"/>
          <w:color w:val="000000" w:themeColor="text1"/>
          <w:lang w:eastAsia="en-GB"/>
        </w:rPr>
        <w:t xml:space="preserve"> Wells</w:t>
      </w:r>
      <w:r w:rsidR="003437F4">
        <w:rPr>
          <w:rFonts w:eastAsia="Times New Roman"/>
          <w:color w:val="000000" w:themeColor="text1"/>
          <w:lang w:eastAsia="en-GB"/>
        </w:rPr>
        <w:t>, J.</w:t>
      </w:r>
      <w:r w:rsidRPr="002F1406">
        <w:rPr>
          <w:rFonts w:eastAsia="Times New Roman"/>
          <w:color w:val="000000" w:themeColor="text1"/>
          <w:lang w:eastAsia="en-GB"/>
        </w:rPr>
        <w:t xml:space="preserve"> (2013). </w:t>
      </w:r>
      <w:r w:rsidRPr="002F1406">
        <w:rPr>
          <w:i/>
          <w:iCs/>
          <w:color w:val="000000" w:themeColor="text1"/>
        </w:rPr>
        <w:t xml:space="preserve">The Dawkins </w:t>
      </w:r>
      <w:r w:rsidR="003437F4">
        <w:rPr>
          <w:i/>
          <w:iCs/>
          <w:color w:val="000000" w:themeColor="text1"/>
        </w:rPr>
        <w:t>r</w:t>
      </w:r>
      <w:r w:rsidRPr="002F1406">
        <w:rPr>
          <w:i/>
          <w:iCs/>
          <w:color w:val="000000" w:themeColor="text1"/>
        </w:rPr>
        <w:t xml:space="preserve">evolution: </w:t>
      </w:r>
      <w:r w:rsidRPr="002F1406">
        <w:rPr>
          <w:rFonts w:eastAsia="Times New Roman"/>
          <w:i/>
          <w:iCs/>
          <w:color w:val="000000" w:themeColor="text1"/>
          <w:lang w:eastAsia="en-GB"/>
        </w:rPr>
        <w:t xml:space="preserve">25 </w:t>
      </w:r>
      <w:r w:rsidR="003437F4">
        <w:rPr>
          <w:rFonts w:eastAsia="Times New Roman"/>
          <w:i/>
          <w:iCs/>
          <w:color w:val="000000" w:themeColor="text1"/>
          <w:lang w:eastAsia="en-GB"/>
        </w:rPr>
        <w:t>y</w:t>
      </w:r>
      <w:r w:rsidRPr="002F1406">
        <w:rPr>
          <w:rFonts w:eastAsia="Times New Roman"/>
          <w:i/>
          <w:iCs/>
          <w:color w:val="000000" w:themeColor="text1"/>
          <w:lang w:eastAsia="en-GB"/>
        </w:rPr>
        <w:t xml:space="preserve">ears </w:t>
      </w:r>
      <w:r w:rsidR="003437F4">
        <w:rPr>
          <w:rFonts w:eastAsia="Times New Roman"/>
          <w:i/>
          <w:iCs/>
          <w:color w:val="000000" w:themeColor="text1"/>
          <w:lang w:eastAsia="en-GB"/>
        </w:rPr>
        <w:t>o</w:t>
      </w:r>
      <w:r w:rsidRPr="002F1406">
        <w:rPr>
          <w:rFonts w:eastAsia="Times New Roman"/>
          <w:i/>
          <w:iCs/>
          <w:color w:val="000000" w:themeColor="text1"/>
          <w:lang w:eastAsia="en-GB"/>
        </w:rPr>
        <w:t>n</w:t>
      </w:r>
      <w:r w:rsidRPr="002F1406">
        <w:rPr>
          <w:color w:val="000000" w:themeColor="text1"/>
        </w:rPr>
        <w:t>. Melbourne</w:t>
      </w:r>
      <w:r w:rsidR="003437F4">
        <w:rPr>
          <w:color w:val="000000" w:themeColor="text1"/>
        </w:rPr>
        <w:t>:</w:t>
      </w:r>
      <w:r w:rsidRPr="002F1406">
        <w:rPr>
          <w:color w:val="000000" w:themeColor="text1"/>
        </w:rPr>
        <w:t xml:space="preserve"> Melbourne University Publishing</w:t>
      </w:r>
      <w:r w:rsidR="003437F4">
        <w:rPr>
          <w:color w:val="000000" w:themeColor="text1"/>
        </w:rPr>
        <w:t>.</w:t>
      </w:r>
    </w:p>
    <w:p w14:paraId="4EF59771" w14:textId="66A4BFE4" w:rsidR="00AC4CDC" w:rsidRPr="00FB5AA7" w:rsidRDefault="00AC4CDC" w:rsidP="00AC4CDC">
      <w:pPr>
        <w:pStyle w:val="JANZSSAreferences"/>
      </w:pPr>
      <w:r>
        <w:t>Hamilton, C.</w:t>
      </w:r>
      <w:r w:rsidR="00450721">
        <w:t>,</w:t>
      </w:r>
      <w:r>
        <w:t xml:space="preserve"> &amp; Hamilton, M. (2024). </w:t>
      </w:r>
      <w:r>
        <w:rPr>
          <w:i/>
          <w:iCs/>
        </w:rPr>
        <w:t xml:space="preserve">The </w:t>
      </w:r>
      <w:r w:rsidR="00450721">
        <w:rPr>
          <w:i/>
          <w:iCs/>
        </w:rPr>
        <w:t>p</w:t>
      </w:r>
      <w:r>
        <w:rPr>
          <w:i/>
          <w:iCs/>
        </w:rPr>
        <w:t xml:space="preserve">rivileged </w:t>
      </w:r>
      <w:r w:rsidR="00450721">
        <w:rPr>
          <w:i/>
          <w:iCs/>
        </w:rPr>
        <w:t>f</w:t>
      </w:r>
      <w:r>
        <w:rPr>
          <w:i/>
          <w:iCs/>
        </w:rPr>
        <w:t>ew</w:t>
      </w:r>
      <w:r>
        <w:t xml:space="preserve">. </w:t>
      </w:r>
      <w:r w:rsidRPr="00801C60">
        <w:t>John </w:t>
      </w:r>
      <w:r w:rsidRPr="002F1406">
        <w:t>Wiley</w:t>
      </w:r>
      <w:r w:rsidRPr="00801C60">
        <w:t> &amp; Sons (UK)</w:t>
      </w:r>
      <w:r>
        <w:t>.</w:t>
      </w:r>
    </w:p>
    <w:p w14:paraId="3EBF9FFF" w14:textId="5919F61A" w:rsidR="00AC4CDC" w:rsidRDefault="00AC4CDC" w:rsidP="00AC4CDC">
      <w:pPr>
        <w:pStyle w:val="JANZSSAreferences"/>
      </w:pPr>
      <w:r>
        <w:t xml:space="preserve">Leigh, A. (2024, June 17). </w:t>
      </w:r>
      <w:r w:rsidRPr="002F1406">
        <w:rPr>
          <w:i/>
          <w:iCs/>
        </w:rPr>
        <w:t xml:space="preserve">Discovering </w:t>
      </w:r>
      <w:r w:rsidR="00450721">
        <w:rPr>
          <w:i/>
          <w:iCs/>
        </w:rPr>
        <w:t>w</w:t>
      </w:r>
      <w:r w:rsidRPr="002F1406">
        <w:rPr>
          <w:i/>
          <w:iCs/>
        </w:rPr>
        <w:t xml:space="preserve">hat </w:t>
      </w:r>
      <w:r w:rsidR="00450721">
        <w:rPr>
          <w:i/>
          <w:iCs/>
        </w:rPr>
        <w:t>w</w:t>
      </w:r>
      <w:r w:rsidRPr="002F1406">
        <w:rPr>
          <w:i/>
          <w:iCs/>
        </w:rPr>
        <w:t xml:space="preserve">orks: Why </w:t>
      </w:r>
      <w:r w:rsidR="00450721">
        <w:rPr>
          <w:i/>
          <w:iCs/>
        </w:rPr>
        <w:t>r</w:t>
      </w:r>
      <w:r w:rsidRPr="002F1406">
        <w:rPr>
          <w:i/>
          <w:iCs/>
        </w:rPr>
        <w:t xml:space="preserve">igorous </w:t>
      </w:r>
      <w:r w:rsidR="00450721">
        <w:rPr>
          <w:i/>
          <w:iCs/>
        </w:rPr>
        <w:t>e</w:t>
      </w:r>
      <w:r w:rsidRPr="002F1406">
        <w:rPr>
          <w:i/>
          <w:iCs/>
        </w:rPr>
        <w:t xml:space="preserve">valuation </w:t>
      </w:r>
      <w:r w:rsidR="00450721">
        <w:rPr>
          <w:i/>
          <w:iCs/>
        </w:rPr>
        <w:t>m</w:t>
      </w:r>
      <w:r w:rsidRPr="002F1406">
        <w:rPr>
          <w:i/>
          <w:iCs/>
        </w:rPr>
        <w:t>atters</w:t>
      </w:r>
      <w:r>
        <w:t xml:space="preserve">. </w:t>
      </w:r>
      <w:r w:rsidRPr="00534F99">
        <w:rPr>
          <w:i/>
          <w:iCs/>
        </w:rPr>
        <w:t>Speech</w:t>
      </w:r>
      <w:r>
        <w:t xml:space="preserve">. </w:t>
      </w:r>
      <w:r w:rsidR="00450721">
        <w:t xml:space="preserve">Andrew Leigh. </w:t>
      </w:r>
      <w:r>
        <w:t>h</w:t>
      </w:r>
      <w:r w:rsidRPr="002B7D88">
        <w:t>ttps://www.andrewleigh.com/discovering_what_works_why_rigorous_evaluation_matters_speech</w:t>
      </w:r>
    </w:p>
    <w:p w14:paraId="135DD931" w14:textId="77777777" w:rsidR="00932BCD" w:rsidRDefault="00AC4CDC" w:rsidP="00AC4CDC">
      <w:pPr>
        <w:pStyle w:val="JANZSSAreferences"/>
      </w:pPr>
      <w:r>
        <w:t xml:space="preserve">Norton, A. (2023). </w:t>
      </w:r>
      <w:r w:rsidRPr="00024C0C">
        <w:rPr>
          <w:i/>
          <w:iCs/>
        </w:rPr>
        <w:t xml:space="preserve">Mapping Australian </w:t>
      </w:r>
      <w:r w:rsidR="00450721">
        <w:rPr>
          <w:i/>
          <w:iCs/>
        </w:rPr>
        <w:t>h</w:t>
      </w:r>
      <w:r w:rsidRPr="00024C0C">
        <w:rPr>
          <w:i/>
          <w:iCs/>
        </w:rPr>
        <w:t xml:space="preserve">igher </w:t>
      </w:r>
      <w:r w:rsidR="00450721">
        <w:rPr>
          <w:i/>
          <w:iCs/>
        </w:rPr>
        <w:t>e</w:t>
      </w:r>
      <w:r w:rsidRPr="00024C0C">
        <w:rPr>
          <w:i/>
          <w:iCs/>
        </w:rPr>
        <w:t>ducation 2023</w:t>
      </w:r>
      <w:r>
        <w:t xml:space="preserve">. ANU Centre for Social Research and Methods. </w:t>
      </w:r>
      <w:r w:rsidRPr="007D1924">
        <w:t>https://andrewnorton.net.au/wp-content/uploads/2023/11/mapping-australian-higher-education-2023_update.pdf</w:t>
      </w:r>
    </w:p>
    <w:p w14:paraId="6D41F3BE" w14:textId="5B597EAF" w:rsidR="00AC4CDC" w:rsidRDefault="00AC4CDC" w:rsidP="00AC4CDC">
      <w:pPr>
        <w:pStyle w:val="JANZSSAreferences"/>
      </w:pPr>
      <w:r w:rsidRPr="0082456A">
        <w:t xml:space="preserve">Robinson, M., Tomaszewski, W., Kubler, M., Johnstone, M., Clague, D., Zajac, T., Povey, J., &amp; Salom, C. (2021). </w:t>
      </w:r>
      <w:r w:rsidRPr="002F1406">
        <w:rPr>
          <w:i/>
          <w:iCs/>
        </w:rPr>
        <w:t xml:space="preserve">The Student Equity in Higher Education Evaluation Framework. </w:t>
      </w:r>
      <w:r w:rsidRPr="00534F99">
        <w:rPr>
          <w:i/>
          <w:iCs/>
        </w:rPr>
        <w:t xml:space="preserve">Final </w:t>
      </w:r>
      <w:r w:rsidR="00450721" w:rsidRPr="00534F99">
        <w:rPr>
          <w:i/>
          <w:iCs/>
        </w:rPr>
        <w:t>r</w:t>
      </w:r>
      <w:r w:rsidRPr="00534F99">
        <w:rPr>
          <w:i/>
          <w:iCs/>
        </w:rPr>
        <w:t>eport.</w:t>
      </w:r>
      <w:r w:rsidRPr="0082456A">
        <w:t xml:space="preserve"> Brisbane: Institute for Social Science Research (ISSR), The University of Queensland. </w:t>
      </w:r>
      <w:r w:rsidRPr="00AC4CDC">
        <w:t>https://www.education.gov.au/heppp/resources/student-equity-higher-education-evaluation-framework-seheef-final-report</w:t>
      </w:r>
    </w:p>
    <w:p w14:paraId="1630AF85" w14:textId="7E0AF5F1" w:rsidR="00AC4CDC" w:rsidRDefault="00AC4CDC" w:rsidP="00AC4CDC">
      <w:pPr>
        <w:pStyle w:val="JANZSSAreferences"/>
      </w:pPr>
      <w:r>
        <w:t xml:space="preserve">Saggar, S., Norrie, R., Bannister, M., &amp; Goodhart, D. (2016), </w:t>
      </w:r>
      <w:r w:rsidRPr="00534F99">
        <w:rPr>
          <w:i/>
          <w:iCs/>
        </w:rPr>
        <w:t xml:space="preserve">Bittersweet </w:t>
      </w:r>
      <w:r w:rsidR="00411591" w:rsidRPr="00534F99">
        <w:rPr>
          <w:i/>
          <w:iCs/>
        </w:rPr>
        <w:t>s</w:t>
      </w:r>
      <w:r w:rsidRPr="00534F99">
        <w:rPr>
          <w:i/>
          <w:iCs/>
        </w:rPr>
        <w:t xml:space="preserve">uccess? Glass </w:t>
      </w:r>
      <w:r w:rsidR="00411591" w:rsidRPr="00534F99">
        <w:rPr>
          <w:i/>
          <w:iCs/>
        </w:rPr>
        <w:t>c</w:t>
      </w:r>
      <w:r w:rsidRPr="00534F99">
        <w:rPr>
          <w:i/>
          <w:iCs/>
        </w:rPr>
        <w:t xml:space="preserve">eilings </w:t>
      </w:r>
      <w:r w:rsidR="00411591">
        <w:rPr>
          <w:i/>
          <w:iCs/>
        </w:rPr>
        <w:t>for</w:t>
      </w:r>
      <w:r w:rsidRPr="00534F99">
        <w:rPr>
          <w:i/>
          <w:iCs/>
        </w:rPr>
        <w:t xml:space="preserve"> Britain’s </w:t>
      </w:r>
      <w:r w:rsidR="00411591" w:rsidRPr="00534F99">
        <w:rPr>
          <w:i/>
          <w:iCs/>
        </w:rPr>
        <w:t>e</w:t>
      </w:r>
      <w:r w:rsidRPr="00534F99">
        <w:rPr>
          <w:i/>
          <w:iCs/>
        </w:rPr>
        <w:t xml:space="preserve">thnic </w:t>
      </w:r>
      <w:r w:rsidR="00411591" w:rsidRPr="00534F99">
        <w:rPr>
          <w:i/>
          <w:iCs/>
        </w:rPr>
        <w:t>m</w:t>
      </w:r>
      <w:r w:rsidRPr="00534F99">
        <w:rPr>
          <w:i/>
          <w:iCs/>
        </w:rPr>
        <w:t>inorit</w:t>
      </w:r>
      <w:r w:rsidR="00411591">
        <w:rPr>
          <w:i/>
          <w:iCs/>
        </w:rPr>
        <w:t>ies</w:t>
      </w:r>
      <w:r w:rsidRPr="00534F99">
        <w:rPr>
          <w:i/>
          <w:iCs/>
        </w:rPr>
        <w:t xml:space="preserve"> at the </w:t>
      </w:r>
      <w:r w:rsidR="00411591" w:rsidRPr="00534F99">
        <w:rPr>
          <w:i/>
          <w:iCs/>
        </w:rPr>
        <w:t>t</w:t>
      </w:r>
      <w:r w:rsidRPr="00534F99">
        <w:rPr>
          <w:i/>
          <w:iCs/>
        </w:rPr>
        <w:t xml:space="preserve">op of </w:t>
      </w:r>
      <w:r w:rsidR="00411591" w:rsidRPr="00534F99">
        <w:rPr>
          <w:i/>
          <w:iCs/>
        </w:rPr>
        <w:t>b</w:t>
      </w:r>
      <w:r w:rsidRPr="00534F99">
        <w:rPr>
          <w:i/>
          <w:iCs/>
        </w:rPr>
        <w:t xml:space="preserve">usiness and the </w:t>
      </w:r>
      <w:r w:rsidR="00411591" w:rsidRPr="00534F99">
        <w:rPr>
          <w:i/>
          <w:iCs/>
        </w:rPr>
        <w:t>p</w:t>
      </w:r>
      <w:r w:rsidRPr="00534F99">
        <w:rPr>
          <w:i/>
          <w:iCs/>
        </w:rPr>
        <w:t>rofessions.</w:t>
      </w:r>
      <w:r>
        <w:t xml:space="preserve"> London, Policy Exchange</w:t>
      </w:r>
      <w:r w:rsidR="00411591">
        <w:t>.</w:t>
      </w:r>
    </w:p>
    <w:p w14:paraId="0284C33B" w14:textId="77777777" w:rsidR="00E35BBA" w:rsidRPr="00C95DA5" w:rsidRDefault="00E35BBA" w:rsidP="00E35BBA">
      <w:pPr>
        <w:pStyle w:val="JANZSSAreferences"/>
      </w:pPr>
      <w:r w:rsidRPr="009608DC">
        <w:t>Vermillion Peirce</w:t>
      </w:r>
      <w:r>
        <w:t xml:space="preserve">, P. (2024). </w:t>
      </w:r>
      <w:r w:rsidRPr="009C42C2">
        <w:t>Building stronger bridges between equity and evidence in higher education</w:t>
      </w:r>
      <w:r>
        <w:t>.</w:t>
      </w:r>
      <w:r w:rsidRPr="00AD05AA">
        <w:t xml:space="preserve"> </w:t>
      </w:r>
      <w:r w:rsidRPr="00AD05AA">
        <w:rPr>
          <w:i/>
          <w:iCs/>
        </w:rPr>
        <w:t>Journal of the Australian and New Zealand Student Services Association</w:t>
      </w:r>
      <w:r w:rsidRPr="00AD05AA">
        <w:t xml:space="preserve">, </w:t>
      </w:r>
      <w:r w:rsidRPr="00E12F3B">
        <w:rPr>
          <w:i/>
          <w:iCs/>
        </w:rPr>
        <w:t>32</w:t>
      </w:r>
      <w:r w:rsidRPr="00AD05AA">
        <w:t>(</w:t>
      </w:r>
      <w:r>
        <w:t>2</w:t>
      </w:r>
      <w:r w:rsidRPr="00AD05AA">
        <w:t>)</w:t>
      </w:r>
      <w:r>
        <w:t>, 100–103</w:t>
      </w:r>
      <w:r w:rsidRPr="00AD05AA">
        <w:t xml:space="preserve">. </w:t>
      </w:r>
      <w:r w:rsidRPr="001C4613">
        <w:t>https://doi.org/10.30688/janzssa.2024-</w:t>
      </w:r>
      <w:r>
        <w:t>2-07</w:t>
      </w:r>
    </w:p>
    <w:p w14:paraId="23A26F85" w14:textId="1816B6D8" w:rsidR="00AC4CDC" w:rsidRPr="00411591" w:rsidRDefault="00AC4CDC" w:rsidP="00411591">
      <w:pPr>
        <w:pStyle w:val="JANZSSAreferences"/>
      </w:pPr>
      <w:r w:rsidRPr="00411591">
        <w:t xml:space="preserve">Zacharias, N., Mitchell, G., Raciti, M., Koshy, P., Li, I., Costello, D., &amp; Trinidad, S. (2018). Widening </w:t>
      </w:r>
      <w:r w:rsidR="00411591" w:rsidRPr="00411591">
        <w:t>r</w:t>
      </w:r>
      <w:r w:rsidRPr="00411591">
        <w:t>egional</w:t>
      </w:r>
      <w:r w:rsidR="00411591">
        <w:t xml:space="preserve"> </w:t>
      </w:r>
      <w:r w:rsidRPr="00411591">
        <w:t xml:space="preserve">and </w:t>
      </w:r>
      <w:r w:rsidR="00411591" w:rsidRPr="00411591">
        <w:t>r</w:t>
      </w:r>
      <w:r w:rsidRPr="00411591">
        <w:t xml:space="preserve">emote </w:t>
      </w:r>
      <w:r w:rsidR="00411591" w:rsidRPr="00411591">
        <w:t>p</w:t>
      </w:r>
      <w:r w:rsidRPr="00411591">
        <w:t>articipation: Interrogating the impact of outreach programs across Queensland. National Centre</w:t>
      </w:r>
      <w:r w:rsidR="00411591">
        <w:t xml:space="preserve"> </w:t>
      </w:r>
      <w:r w:rsidRPr="00411591">
        <w:t>for Student Equity in Higher Education.</w:t>
      </w:r>
      <w:r w:rsidR="00411591">
        <w:t xml:space="preserve"> </w:t>
      </w:r>
      <w:r w:rsidR="00411591" w:rsidRPr="00411591">
        <w:t>https://www.acses.edu.au/app/uploads/2018/10/84_Curtin_NadineZacharias_Accessible_v3.pdf</w:t>
      </w:r>
    </w:p>
    <w:p w14:paraId="6906B313" w14:textId="77777777" w:rsidR="00AC4CDC" w:rsidRDefault="00AC4CDC" w:rsidP="00AC4CDC">
      <w:pPr>
        <w:pStyle w:val="JANZSSAreferences"/>
      </w:pPr>
    </w:p>
    <w:p w14:paraId="66678581" w14:textId="5F7C5B16" w:rsidR="000411ED" w:rsidRPr="00C95DA5" w:rsidRDefault="000411ED" w:rsidP="00C95DA5">
      <w:pPr>
        <w:pStyle w:val="JANZSSAHeading5"/>
      </w:pPr>
      <w:r w:rsidRPr="00C95DA5">
        <w:t>The</w:t>
      </w:r>
      <w:r w:rsidR="002B0419" w:rsidRPr="00C95DA5">
        <w:t xml:space="preserve"> </w:t>
      </w:r>
      <w:r w:rsidRPr="00C95DA5">
        <w:t>author</w:t>
      </w:r>
      <w:r w:rsidR="002B0419" w:rsidRPr="00C95DA5">
        <w:t xml:space="preserve"> </w:t>
      </w:r>
      <w:r w:rsidRPr="00C95DA5">
        <w:t>may</w:t>
      </w:r>
      <w:r w:rsidR="002B0419" w:rsidRPr="00C95DA5">
        <w:t xml:space="preserve"> </w:t>
      </w:r>
      <w:r w:rsidRPr="00C95DA5">
        <w:t>be</w:t>
      </w:r>
      <w:r w:rsidR="002B0419" w:rsidRPr="00C95DA5">
        <w:t xml:space="preserve"> </w:t>
      </w:r>
      <w:r w:rsidRPr="00C95DA5">
        <w:t>contacted</w:t>
      </w:r>
      <w:r w:rsidR="002B0419" w:rsidRPr="00C95DA5">
        <w:t xml:space="preserve"> </w:t>
      </w:r>
      <w:r w:rsidRPr="00C95DA5">
        <w:t>via</w:t>
      </w:r>
      <w:r w:rsidR="00571F4B" w:rsidRPr="00C95DA5">
        <w:t>:</w:t>
      </w:r>
    </w:p>
    <w:p w14:paraId="5546CC1B" w14:textId="42095818" w:rsidR="0032203B" w:rsidRDefault="00AC4CDC" w:rsidP="00176032">
      <w:pPr>
        <w:pStyle w:val="JANZSSABodyCopy10pt"/>
      </w:pPr>
      <w:r>
        <w:t>Shamit Saggar</w:t>
      </w:r>
      <w:r w:rsidR="00A26E41">
        <w:t xml:space="preserve"> — </w:t>
      </w:r>
      <w:r w:rsidRPr="00AC4CDC">
        <w:t>shamit.saggar@curtin.edu.au</w:t>
      </w:r>
    </w:p>
    <w:p w14:paraId="2DD22D08" w14:textId="77777777" w:rsidR="001C4613" w:rsidRPr="00176032" w:rsidRDefault="001C4613" w:rsidP="00176032">
      <w:pPr>
        <w:pStyle w:val="JANZSSABodyCopy10pt"/>
      </w:pPr>
    </w:p>
    <w:p w14:paraId="20683185" w14:textId="77777777" w:rsidR="000A0E3F" w:rsidRDefault="000411ED" w:rsidP="00C95DA5">
      <w:pPr>
        <w:pStyle w:val="JANZSSAHeading5"/>
      </w:pPr>
      <w:r w:rsidRPr="00DB4766">
        <w:t>Please</w:t>
      </w:r>
      <w:r w:rsidR="002B0419">
        <w:t xml:space="preserve"> </w:t>
      </w:r>
      <w:r w:rsidRPr="00DB4766">
        <w:t>cite</w:t>
      </w:r>
      <w:r w:rsidR="002B0419">
        <w:t xml:space="preserve"> </w:t>
      </w:r>
      <w:r w:rsidRPr="00DB4766">
        <w:t>this</w:t>
      </w:r>
      <w:r w:rsidR="002B0419">
        <w:t xml:space="preserve"> </w:t>
      </w:r>
      <w:r w:rsidRPr="00DB4766">
        <w:t>paper</w:t>
      </w:r>
      <w:r w:rsidR="002B0419">
        <w:t xml:space="preserve"> </w:t>
      </w:r>
      <w:r w:rsidRPr="00DB4766">
        <w:t>as:</w:t>
      </w:r>
      <w:r w:rsidR="002B0419">
        <w:t xml:space="preserve"> </w:t>
      </w:r>
    </w:p>
    <w:p w14:paraId="3C0C663A" w14:textId="2B882313" w:rsidR="000A0E3F" w:rsidRPr="00C95DA5" w:rsidRDefault="00AC4CDC" w:rsidP="00AC4CDC">
      <w:pPr>
        <w:pStyle w:val="JANZSSABodyCopy10pt"/>
        <w:ind w:left="0" w:firstLine="0"/>
      </w:pPr>
      <w:r>
        <w:t>Saggar</w:t>
      </w:r>
      <w:r w:rsidR="009C42C2">
        <w:t xml:space="preserve">, </w:t>
      </w:r>
      <w:r>
        <w:t>S</w:t>
      </w:r>
      <w:r w:rsidR="00C24292">
        <w:t xml:space="preserve">. (2024). </w:t>
      </w:r>
      <w:r>
        <w:t>Reforming higher education for equity: The role of evidence and leadership</w:t>
      </w:r>
      <w:r w:rsidR="00AD05AA">
        <w:t>.</w:t>
      </w:r>
      <w:r w:rsidR="00AD05AA" w:rsidRPr="00AD05AA">
        <w:t xml:space="preserve"> </w:t>
      </w:r>
      <w:r w:rsidR="00AD05AA" w:rsidRPr="00AD05AA">
        <w:rPr>
          <w:i/>
          <w:iCs/>
        </w:rPr>
        <w:t>Journal of the Australian and New Zealand Student Services Association</w:t>
      </w:r>
      <w:r w:rsidR="00AD05AA" w:rsidRPr="00AD05AA">
        <w:t xml:space="preserve">, </w:t>
      </w:r>
      <w:r w:rsidR="00AD05AA" w:rsidRPr="00E12F3B">
        <w:rPr>
          <w:i/>
          <w:iCs/>
        </w:rPr>
        <w:t>32</w:t>
      </w:r>
      <w:r w:rsidR="00AD05AA" w:rsidRPr="00AD05AA">
        <w:t>(</w:t>
      </w:r>
      <w:r w:rsidR="00E12F3B">
        <w:t>2</w:t>
      </w:r>
      <w:r w:rsidR="00AD05AA" w:rsidRPr="00AD05AA">
        <w:t>)</w:t>
      </w:r>
      <w:r w:rsidR="007F61AD">
        <w:t xml:space="preserve">, </w:t>
      </w:r>
      <w:r w:rsidR="00AA3D20">
        <w:t>94–99</w:t>
      </w:r>
      <w:r w:rsidR="00AD05AA" w:rsidRPr="00AD05AA">
        <w:t xml:space="preserve">. </w:t>
      </w:r>
      <w:r w:rsidR="001C4613" w:rsidRPr="001C4613">
        <w:t>https://doi.org/10.30688/janzssa.2024-</w:t>
      </w:r>
      <w:r w:rsidR="00E12F3B">
        <w:t>2-</w:t>
      </w:r>
      <w:r w:rsidR="00AA3D20">
        <w:t>06</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D406C81" w14:textId="04655A91" w:rsidR="00771F30" w:rsidRPr="006A0AF4" w:rsidRDefault="000A0E3F" w:rsidP="00AA27E9">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771F30" w:rsidRPr="006A0AF4" w:rsidSect="00AA3D20">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7" w:h="16839" w:code="9"/>
      <w:pgMar w:top="1281" w:right="1140" w:bottom="1281" w:left="1140" w:header="567" w:footer="678" w:gutter="0"/>
      <w:pgNumType w:start="94"/>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3C8C9A" w14:textId="77777777" w:rsidR="004F4E79" w:rsidRDefault="004F4E79" w:rsidP="00EE09D3">
      <w:r>
        <w:separator/>
      </w:r>
    </w:p>
    <w:p w14:paraId="37EA9DBA" w14:textId="77777777" w:rsidR="004F4E79" w:rsidRDefault="004F4E79"/>
    <w:p w14:paraId="3EB1C1BC" w14:textId="77777777" w:rsidR="004F4E79" w:rsidRDefault="004F4E79"/>
  </w:endnote>
  <w:endnote w:type="continuationSeparator" w:id="0">
    <w:p w14:paraId="04CAFD4E" w14:textId="77777777" w:rsidR="004F4E79" w:rsidRDefault="004F4E79" w:rsidP="00EE09D3">
      <w:r>
        <w:continuationSeparator/>
      </w:r>
    </w:p>
    <w:p w14:paraId="7A643DD3" w14:textId="77777777" w:rsidR="004F4E79" w:rsidRDefault="004F4E79"/>
    <w:p w14:paraId="72A4B319" w14:textId="77777777" w:rsidR="004F4E79" w:rsidRDefault="004F4E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2E80EACF" w14:textId="77777777" w:rsidR="00880F83" w:rsidRDefault="00880F83" w:rsidP="00880F83">
    <w:pPr>
      <w:pStyle w:val="JANZSSAFooter"/>
    </w:pPr>
    <w:r w:rsidRPr="004167FD">
      <w:t>Journal of the Australian and New Zealand Student Services Association</w:t>
    </w:r>
    <w:r>
      <w:t>:</w:t>
    </w:r>
  </w:p>
  <w:p w14:paraId="5BF35149" w14:textId="03F66D00" w:rsidR="00D93174" w:rsidRPr="004167FD" w:rsidRDefault="00880F83" w:rsidP="00880F83">
    <w:pPr>
      <w:pStyle w:val="JANZSSAFooter"/>
    </w:pPr>
    <w:r>
      <w:t xml:space="preserve">Volume 32, Issue </w:t>
    </w:r>
    <w:r w:rsidR="00E12F3B">
      <w:t>2</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AF109F" w14:textId="77777777" w:rsidR="00B7657A" w:rsidRDefault="00B7657A" w:rsidP="00880F83">
    <w:pPr>
      <w:pStyle w:val="JANZSSAFooter"/>
    </w:pPr>
  </w:p>
  <w:p w14:paraId="57CCD284" w14:textId="1188158A" w:rsidR="00880F83" w:rsidRDefault="00880F83" w:rsidP="00880F83">
    <w:pPr>
      <w:pStyle w:val="JANZSSAFooter"/>
    </w:pPr>
    <w:r w:rsidRPr="004167FD">
      <w:t>Journal of the Australian and New Zealand Student Services Association</w:t>
    </w:r>
    <w:r>
      <w:t>:</w:t>
    </w:r>
  </w:p>
  <w:p w14:paraId="67B4F070" w14:textId="4B0C960D" w:rsidR="00880F83" w:rsidRPr="004167FD" w:rsidRDefault="00880F83" w:rsidP="00880F83">
    <w:pPr>
      <w:pStyle w:val="JANZSSAFooter"/>
    </w:pPr>
    <w:r>
      <w:t xml:space="preserve">Volume 32, Issue </w:t>
    </w:r>
    <w:r w:rsidR="00E12F3B">
      <w:t>2</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7A92F6" w14:textId="77777777" w:rsidR="004167FD" w:rsidRDefault="004167FD" w:rsidP="004167FD">
    <w:pPr>
      <w:pStyle w:val="JANZSSAFooter"/>
    </w:pPr>
  </w:p>
  <w:p w14:paraId="0DD4E1A0" w14:textId="77777777" w:rsidR="00880F83" w:rsidRDefault="00880F83" w:rsidP="00880F83">
    <w:pPr>
      <w:pStyle w:val="JANZSSAFooter"/>
    </w:pPr>
    <w:r w:rsidRPr="004167FD">
      <w:t>Journal of the Australian and New Zealand Student Services Association</w:t>
    </w:r>
    <w:r>
      <w:t>:</w:t>
    </w:r>
  </w:p>
  <w:p w14:paraId="7A4A8EB2" w14:textId="224AE227" w:rsidR="00D93174" w:rsidRPr="004167FD" w:rsidRDefault="00880F83" w:rsidP="00880F83">
    <w:pPr>
      <w:pStyle w:val="JANZSSAFooter"/>
    </w:pPr>
    <w:r>
      <w:t xml:space="preserve">Volume 32, Issue </w:t>
    </w:r>
    <w:r w:rsidR="00240AC8">
      <w:t>2</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7A8CE6" w14:textId="77777777" w:rsidR="004F4E79" w:rsidRDefault="004F4E79" w:rsidP="00EE09D3">
      <w:r>
        <w:separator/>
      </w:r>
    </w:p>
    <w:p w14:paraId="747C2C6B" w14:textId="77777777" w:rsidR="004F4E79" w:rsidRDefault="004F4E79"/>
    <w:p w14:paraId="5AC0EF0B" w14:textId="77777777" w:rsidR="004F4E79" w:rsidRDefault="004F4E79"/>
  </w:footnote>
  <w:footnote w:type="continuationSeparator" w:id="0">
    <w:p w14:paraId="1B72D3CF" w14:textId="77777777" w:rsidR="004F4E79" w:rsidRDefault="004F4E79" w:rsidP="00EE09D3">
      <w:r>
        <w:continuationSeparator/>
      </w:r>
    </w:p>
    <w:p w14:paraId="1F347B40" w14:textId="77777777" w:rsidR="004F4E79" w:rsidRDefault="004F4E79"/>
    <w:p w14:paraId="3B6911EE" w14:textId="77777777" w:rsidR="004F4E79" w:rsidRDefault="004F4E7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C1C7BD" w14:textId="1910D331" w:rsidR="008C61AD" w:rsidRPr="00AC4CDC" w:rsidRDefault="00AC4CDC" w:rsidP="00AC4CDC">
    <w:pPr>
      <w:jc w:val="right"/>
      <w:rPr>
        <w:i/>
        <w:iCs/>
      </w:rPr>
    </w:pPr>
    <w:r w:rsidRPr="00AC4CDC">
      <w:rPr>
        <w:i/>
        <w:iCs/>
      </w:rPr>
      <w:t>Reforming higher education for equity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1789F8" w14:textId="5BA31549" w:rsidR="00AD05AA" w:rsidRPr="006A0AF4" w:rsidRDefault="00AD05AA" w:rsidP="00AD05AA">
    <w:pPr>
      <w:pStyle w:val="JANZSSAHeader"/>
    </w:pPr>
    <w:r w:rsidRPr="006A0AF4">
      <w:t>JANZSSA</w:t>
    </w:r>
    <w:r>
      <w:t xml:space="preserve">: </w:t>
    </w:r>
    <w:r w:rsidRPr="00090F6E">
      <w:t xml:space="preserve">Volume 32, Issue </w:t>
    </w:r>
    <w:r w:rsidR="00E12F3B">
      <w:t>2</w:t>
    </w:r>
    <w:r>
      <w:t xml:space="preserve">, </w:t>
    </w:r>
    <w:r w:rsidR="00E12F3B">
      <w:t>October</w:t>
    </w:r>
    <w:r>
      <w:t xml:space="preserve"> 2024</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4354E" w14:textId="5D771C3B" w:rsidR="00C726E2" w:rsidRPr="00C726E2" w:rsidRDefault="00554F6C" w:rsidP="00C726E2">
    <w:pPr>
      <w:pStyle w:val="JANZSSAHeader"/>
      <w:rPr>
        <w:b/>
        <w:bCs/>
      </w:rPr>
    </w:pPr>
    <w:r>
      <w:rPr>
        <w:b/>
        <w:bCs/>
      </w:rPr>
      <w:t>Opinion Piece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76771A0"/>
    <w:multiLevelType w:val="hybridMultilevel"/>
    <w:tmpl w:val="AD54FF18"/>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EE4B1C"/>
    <w:multiLevelType w:val="hybridMultilevel"/>
    <w:tmpl w:val="97C84C5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5"/>
  </w:num>
  <w:num w:numId="4" w16cid:durableId="974063284">
    <w:abstractNumId w:val="15"/>
  </w:num>
  <w:num w:numId="5" w16cid:durableId="1213931697">
    <w:abstractNumId w:val="23"/>
  </w:num>
  <w:num w:numId="6" w16cid:durableId="1845784250">
    <w:abstractNumId w:val="28"/>
  </w:num>
  <w:num w:numId="7" w16cid:durableId="1426803105">
    <w:abstractNumId w:val="19"/>
  </w:num>
  <w:num w:numId="8" w16cid:durableId="958342066">
    <w:abstractNumId w:val="10"/>
  </w:num>
  <w:num w:numId="9" w16cid:durableId="1550527431">
    <w:abstractNumId w:val="14"/>
  </w:num>
  <w:num w:numId="10" w16cid:durableId="1185482586">
    <w:abstractNumId w:val="21"/>
  </w:num>
  <w:num w:numId="11" w16cid:durableId="391926766">
    <w:abstractNumId w:val="24"/>
  </w:num>
  <w:num w:numId="12" w16cid:durableId="1012688062">
    <w:abstractNumId w:val="18"/>
  </w:num>
  <w:num w:numId="13" w16cid:durableId="647319649">
    <w:abstractNumId w:val="20"/>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2"/>
  </w:num>
  <w:num w:numId="29" w16cid:durableId="1922330722">
    <w:abstractNumId w:val="1"/>
  </w:num>
  <w:num w:numId="30" w16cid:durableId="1961952744">
    <w:abstractNumId w:val="2"/>
  </w:num>
  <w:num w:numId="31" w16cid:durableId="420027249">
    <w:abstractNumId w:val="11"/>
  </w:num>
  <w:num w:numId="32" w16cid:durableId="236716984">
    <w:abstractNumId w:val="27"/>
  </w:num>
  <w:num w:numId="33" w16cid:durableId="854425066">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070AF"/>
    <w:rsid w:val="00010656"/>
    <w:rsid w:val="00010F77"/>
    <w:rsid w:val="0001206D"/>
    <w:rsid w:val="00012629"/>
    <w:rsid w:val="00012A6E"/>
    <w:rsid w:val="000139EA"/>
    <w:rsid w:val="00014648"/>
    <w:rsid w:val="000148FF"/>
    <w:rsid w:val="00014D89"/>
    <w:rsid w:val="0001568A"/>
    <w:rsid w:val="00015E35"/>
    <w:rsid w:val="00016C3D"/>
    <w:rsid w:val="0001733E"/>
    <w:rsid w:val="00017935"/>
    <w:rsid w:val="00020D1D"/>
    <w:rsid w:val="0002162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5D8"/>
    <w:rsid w:val="00037D5D"/>
    <w:rsid w:val="000411ED"/>
    <w:rsid w:val="00043E2B"/>
    <w:rsid w:val="00044F5F"/>
    <w:rsid w:val="0004547B"/>
    <w:rsid w:val="00046381"/>
    <w:rsid w:val="0004640B"/>
    <w:rsid w:val="000501F0"/>
    <w:rsid w:val="00052620"/>
    <w:rsid w:val="00053360"/>
    <w:rsid w:val="0005549E"/>
    <w:rsid w:val="00056908"/>
    <w:rsid w:val="00057AAA"/>
    <w:rsid w:val="00060689"/>
    <w:rsid w:val="00061765"/>
    <w:rsid w:val="000623AD"/>
    <w:rsid w:val="00062C2A"/>
    <w:rsid w:val="00063BDA"/>
    <w:rsid w:val="00064640"/>
    <w:rsid w:val="00067B6F"/>
    <w:rsid w:val="00076361"/>
    <w:rsid w:val="00080A7F"/>
    <w:rsid w:val="000829E6"/>
    <w:rsid w:val="00083C01"/>
    <w:rsid w:val="000842DF"/>
    <w:rsid w:val="00086F9E"/>
    <w:rsid w:val="0008735C"/>
    <w:rsid w:val="000877D7"/>
    <w:rsid w:val="00087B7A"/>
    <w:rsid w:val="00091781"/>
    <w:rsid w:val="00093406"/>
    <w:rsid w:val="00093C0A"/>
    <w:rsid w:val="000941C6"/>
    <w:rsid w:val="00095FBC"/>
    <w:rsid w:val="00096F85"/>
    <w:rsid w:val="000A0691"/>
    <w:rsid w:val="000A07D8"/>
    <w:rsid w:val="000A0E3F"/>
    <w:rsid w:val="000A25DB"/>
    <w:rsid w:val="000A3749"/>
    <w:rsid w:val="000A3937"/>
    <w:rsid w:val="000A3AB7"/>
    <w:rsid w:val="000A3E2B"/>
    <w:rsid w:val="000A5DC4"/>
    <w:rsid w:val="000A78FF"/>
    <w:rsid w:val="000B029F"/>
    <w:rsid w:val="000B0A8E"/>
    <w:rsid w:val="000B1623"/>
    <w:rsid w:val="000B2039"/>
    <w:rsid w:val="000B32CD"/>
    <w:rsid w:val="000B3DB1"/>
    <w:rsid w:val="000B5205"/>
    <w:rsid w:val="000B64F9"/>
    <w:rsid w:val="000B6B72"/>
    <w:rsid w:val="000B7403"/>
    <w:rsid w:val="000B7E04"/>
    <w:rsid w:val="000C02B0"/>
    <w:rsid w:val="000C0C49"/>
    <w:rsid w:val="000C0FB5"/>
    <w:rsid w:val="000C1BFA"/>
    <w:rsid w:val="000C214C"/>
    <w:rsid w:val="000C3BA6"/>
    <w:rsid w:val="000C5212"/>
    <w:rsid w:val="000C579F"/>
    <w:rsid w:val="000C7AA4"/>
    <w:rsid w:val="000C7E87"/>
    <w:rsid w:val="000D1037"/>
    <w:rsid w:val="000D56B6"/>
    <w:rsid w:val="000D6AEC"/>
    <w:rsid w:val="000D7A40"/>
    <w:rsid w:val="000E05AE"/>
    <w:rsid w:val="000E0AD0"/>
    <w:rsid w:val="000E1577"/>
    <w:rsid w:val="000E5088"/>
    <w:rsid w:val="000E6801"/>
    <w:rsid w:val="000E76A7"/>
    <w:rsid w:val="000E79F2"/>
    <w:rsid w:val="000F03BD"/>
    <w:rsid w:val="000F0A50"/>
    <w:rsid w:val="000F0DDF"/>
    <w:rsid w:val="000F132C"/>
    <w:rsid w:val="000F1ED5"/>
    <w:rsid w:val="000F2750"/>
    <w:rsid w:val="000F60D9"/>
    <w:rsid w:val="0010135B"/>
    <w:rsid w:val="00102402"/>
    <w:rsid w:val="00102A2F"/>
    <w:rsid w:val="00103260"/>
    <w:rsid w:val="00103A7E"/>
    <w:rsid w:val="00104130"/>
    <w:rsid w:val="001054A4"/>
    <w:rsid w:val="001104A5"/>
    <w:rsid w:val="001111F5"/>
    <w:rsid w:val="00111DF2"/>
    <w:rsid w:val="001121CA"/>
    <w:rsid w:val="00112366"/>
    <w:rsid w:val="00112981"/>
    <w:rsid w:val="00113B91"/>
    <w:rsid w:val="00114746"/>
    <w:rsid w:val="00115C56"/>
    <w:rsid w:val="00117477"/>
    <w:rsid w:val="001207EF"/>
    <w:rsid w:val="00120AD7"/>
    <w:rsid w:val="00120C9F"/>
    <w:rsid w:val="00121BC7"/>
    <w:rsid w:val="0012217E"/>
    <w:rsid w:val="00122A8E"/>
    <w:rsid w:val="00122DD3"/>
    <w:rsid w:val="00122FBD"/>
    <w:rsid w:val="00124614"/>
    <w:rsid w:val="001248B6"/>
    <w:rsid w:val="001259F9"/>
    <w:rsid w:val="00126293"/>
    <w:rsid w:val="00126FB1"/>
    <w:rsid w:val="00130955"/>
    <w:rsid w:val="00130AC8"/>
    <w:rsid w:val="00131C86"/>
    <w:rsid w:val="0013302E"/>
    <w:rsid w:val="001371C1"/>
    <w:rsid w:val="00137490"/>
    <w:rsid w:val="00140CD3"/>
    <w:rsid w:val="00143D40"/>
    <w:rsid w:val="0014562E"/>
    <w:rsid w:val="0014746F"/>
    <w:rsid w:val="00147A84"/>
    <w:rsid w:val="00152486"/>
    <w:rsid w:val="001547F2"/>
    <w:rsid w:val="00154993"/>
    <w:rsid w:val="0016012E"/>
    <w:rsid w:val="001609D7"/>
    <w:rsid w:val="00161B6D"/>
    <w:rsid w:val="001620F3"/>
    <w:rsid w:val="00164790"/>
    <w:rsid w:val="0016509E"/>
    <w:rsid w:val="00165386"/>
    <w:rsid w:val="001705CA"/>
    <w:rsid w:val="001731A1"/>
    <w:rsid w:val="001751A3"/>
    <w:rsid w:val="00175403"/>
    <w:rsid w:val="00176032"/>
    <w:rsid w:val="00176F1D"/>
    <w:rsid w:val="00177ECC"/>
    <w:rsid w:val="0018444E"/>
    <w:rsid w:val="001852A6"/>
    <w:rsid w:val="0018559E"/>
    <w:rsid w:val="00186F72"/>
    <w:rsid w:val="00191894"/>
    <w:rsid w:val="00191C34"/>
    <w:rsid w:val="00192649"/>
    <w:rsid w:val="00192809"/>
    <w:rsid w:val="00192A9B"/>
    <w:rsid w:val="0019448B"/>
    <w:rsid w:val="001947F1"/>
    <w:rsid w:val="00196760"/>
    <w:rsid w:val="001969C5"/>
    <w:rsid w:val="001A21E9"/>
    <w:rsid w:val="001A2913"/>
    <w:rsid w:val="001A3A6C"/>
    <w:rsid w:val="001A4359"/>
    <w:rsid w:val="001A4E89"/>
    <w:rsid w:val="001A5596"/>
    <w:rsid w:val="001A6239"/>
    <w:rsid w:val="001B0263"/>
    <w:rsid w:val="001B08CB"/>
    <w:rsid w:val="001B09EF"/>
    <w:rsid w:val="001B209B"/>
    <w:rsid w:val="001B239A"/>
    <w:rsid w:val="001B30E1"/>
    <w:rsid w:val="001B4175"/>
    <w:rsid w:val="001C0B3F"/>
    <w:rsid w:val="001C2F10"/>
    <w:rsid w:val="001C4613"/>
    <w:rsid w:val="001C5539"/>
    <w:rsid w:val="001C5D22"/>
    <w:rsid w:val="001D0B2F"/>
    <w:rsid w:val="001D2ED0"/>
    <w:rsid w:val="001D2EDF"/>
    <w:rsid w:val="001D3AD5"/>
    <w:rsid w:val="001D3E81"/>
    <w:rsid w:val="001D4089"/>
    <w:rsid w:val="001D50D7"/>
    <w:rsid w:val="001D597E"/>
    <w:rsid w:val="001D7FAD"/>
    <w:rsid w:val="001D7FD4"/>
    <w:rsid w:val="001E03B0"/>
    <w:rsid w:val="001E09ED"/>
    <w:rsid w:val="001E1301"/>
    <w:rsid w:val="001E29E5"/>
    <w:rsid w:val="001E2BBE"/>
    <w:rsid w:val="001E380B"/>
    <w:rsid w:val="001E3B97"/>
    <w:rsid w:val="001E3E1C"/>
    <w:rsid w:val="001E419F"/>
    <w:rsid w:val="001E5C48"/>
    <w:rsid w:val="001F0B9B"/>
    <w:rsid w:val="001F2C26"/>
    <w:rsid w:val="001F3905"/>
    <w:rsid w:val="001F39E0"/>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567F"/>
    <w:rsid w:val="00226E60"/>
    <w:rsid w:val="002275C5"/>
    <w:rsid w:val="00227E3E"/>
    <w:rsid w:val="00227F1D"/>
    <w:rsid w:val="00230079"/>
    <w:rsid w:val="002307A9"/>
    <w:rsid w:val="002310F9"/>
    <w:rsid w:val="00232B8B"/>
    <w:rsid w:val="00233251"/>
    <w:rsid w:val="00233DFF"/>
    <w:rsid w:val="00234F80"/>
    <w:rsid w:val="002353F9"/>
    <w:rsid w:val="00240AC8"/>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D66"/>
    <w:rsid w:val="00266A87"/>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C0A"/>
    <w:rsid w:val="002A7BB7"/>
    <w:rsid w:val="002A7BC3"/>
    <w:rsid w:val="002B01DC"/>
    <w:rsid w:val="002B0419"/>
    <w:rsid w:val="002B0A68"/>
    <w:rsid w:val="002B135A"/>
    <w:rsid w:val="002B3CC5"/>
    <w:rsid w:val="002B550F"/>
    <w:rsid w:val="002C1392"/>
    <w:rsid w:val="002C3219"/>
    <w:rsid w:val="002C36FC"/>
    <w:rsid w:val="002C4474"/>
    <w:rsid w:val="002C44E1"/>
    <w:rsid w:val="002C4ECE"/>
    <w:rsid w:val="002C7117"/>
    <w:rsid w:val="002D1C06"/>
    <w:rsid w:val="002D28D5"/>
    <w:rsid w:val="002D477D"/>
    <w:rsid w:val="002E0694"/>
    <w:rsid w:val="002E1A63"/>
    <w:rsid w:val="002E1C1E"/>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22B"/>
    <w:rsid w:val="00300F33"/>
    <w:rsid w:val="00301E88"/>
    <w:rsid w:val="0030499D"/>
    <w:rsid w:val="00306620"/>
    <w:rsid w:val="00307CC0"/>
    <w:rsid w:val="00317BEF"/>
    <w:rsid w:val="00320E3D"/>
    <w:rsid w:val="0032178A"/>
    <w:rsid w:val="0032203B"/>
    <w:rsid w:val="00325368"/>
    <w:rsid w:val="003279C1"/>
    <w:rsid w:val="003325C5"/>
    <w:rsid w:val="0033328A"/>
    <w:rsid w:val="0033333B"/>
    <w:rsid w:val="00333D5E"/>
    <w:rsid w:val="00334C26"/>
    <w:rsid w:val="00335CE0"/>
    <w:rsid w:val="00336C1B"/>
    <w:rsid w:val="003376A3"/>
    <w:rsid w:val="0034146A"/>
    <w:rsid w:val="0034160D"/>
    <w:rsid w:val="0034349D"/>
    <w:rsid w:val="003437F4"/>
    <w:rsid w:val="003450EB"/>
    <w:rsid w:val="00347463"/>
    <w:rsid w:val="00347FB6"/>
    <w:rsid w:val="00350608"/>
    <w:rsid w:val="0035152B"/>
    <w:rsid w:val="00355346"/>
    <w:rsid w:val="0035566D"/>
    <w:rsid w:val="003561BD"/>
    <w:rsid w:val="00357324"/>
    <w:rsid w:val="00361978"/>
    <w:rsid w:val="00362FA9"/>
    <w:rsid w:val="00364E17"/>
    <w:rsid w:val="0036547B"/>
    <w:rsid w:val="00367700"/>
    <w:rsid w:val="00372460"/>
    <w:rsid w:val="00372F9C"/>
    <w:rsid w:val="00373D92"/>
    <w:rsid w:val="0037796F"/>
    <w:rsid w:val="00380203"/>
    <w:rsid w:val="00380AD1"/>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974DD"/>
    <w:rsid w:val="003A1433"/>
    <w:rsid w:val="003A1FA6"/>
    <w:rsid w:val="003A22D0"/>
    <w:rsid w:val="003A2CE2"/>
    <w:rsid w:val="003A3999"/>
    <w:rsid w:val="003A4192"/>
    <w:rsid w:val="003A592C"/>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5F7C"/>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115"/>
    <w:rsid w:val="00405547"/>
    <w:rsid w:val="004058EA"/>
    <w:rsid w:val="00406391"/>
    <w:rsid w:val="00406C10"/>
    <w:rsid w:val="00407862"/>
    <w:rsid w:val="00411591"/>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2F"/>
    <w:rsid w:val="0044709B"/>
    <w:rsid w:val="0045059E"/>
    <w:rsid w:val="00450721"/>
    <w:rsid w:val="0045115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87720"/>
    <w:rsid w:val="00491933"/>
    <w:rsid w:val="00491E0A"/>
    <w:rsid w:val="004929D1"/>
    <w:rsid w:val="00492A6C"/>
    <w:rsid w:val="00492D5B"/>
    <w:rsid w:val="00493BEC"/>
    <w:rsid w:val="004945A6"/>
    <w:rsid w:val="004959EC"/>
    <w:rsid w:val="00496591"/>
    <w:rsid w:val="00496834"/>
    <w:rsid w:val="004A17E0"/>
    <w:rsid w:val="004A3F82"/>
    <w:rsid w:val="004A485B"/>
    <w:rsid w:val="004A4D4E"/>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4DF"/>
    <w:rsid w:val="004C0D88"/>
    <w:rsid w:val="004C1254"/>
    <w:rsid w:val="004C41DD"/>
    <w:rsid w:val="004C6263"/>
    <w:rsid w:val="004C7836"/>
    <w:rsid w:val="004C7DD8"/>
    <w:rsid w:val="004D3CDF"/>
    <w:rsid w:val="004D45E8"/>
    <w:rsid w:val="004D5335"/>
    <w:rsid w:val="004D5510"/>
    <w:rsid w:val="004D5664"/>
    <w:rsid w:val="004D61BB"/>
    <w:rsid w:val="004D7915"/>
    <w:rsid w:val="004D7E64"/>
    <w:rsid w:val="004E004D"/>
    <w:rsid w:val="004E1E9A"/>
    <w:rsid w:val="004E38E8"/>
    <w:rsid w:val="004E3A6A"/>
    <w:rsid w:val="004E3D05"/>
    <w:rsid w:val="004E4BA2"/>
    <w:rsid w:val="004E540F"/>
    <w:rsid w:val="004E61C9"/>
    <w:rsid w:val="004F2016"/>
    <w:rsid w:val="004F4E79"/>
    <w:rsid w:val="00500C2E"/>
    <w:rsid w:val="00500E00"/>
    <w:rsid w:val="00501E98"/>
    <w:rsid w:val="0050213D"/>
    <w:rsid w:val="00506EB9"/>
    <w:rsid w:val="00510DD5"/>
    <w:rsid w:val="005114BA"/>
    <w:rsid w:val="005122AA"/>
    <w:rsid w:val="00512E9C"/>
    <w:rsid w:val="005143C7"/>
    <w:rsid w:val="00517469"/>
    <w:rsid w:val="00517571"/>
    <w:rsid w:val="00517A51"/>
    <w:rsid w:val="00520016"/>
    <w:rsid w:val="00521720"/>
    <w:rsid w:val="005219CB"/>
    <w:rsid w:val="00522748"/>
    <w:rsid w:val="00522CE7"/>
    <w:rsid w:val="00523F97"/>
    <w:rsid w:val="00525B26"/>
    <w:rsid w:val="00526003"/>
    <w:rsid w:val="00527507"/>
    <w:rsid w:val="005308A9"/>
    <w:rsid w:val="0053118D"/>
    <w:rsid w:val="00531669"/>
    <w:rsid w:val="00534539"/>
    <w:rsid w:val="00534F99"/>
    <w:rsid w:val="00535A88"/>
    <w:rsid w:val="005360B8"/>
    <w:rsid w:val="005420A2"/>
    <w:rsid w:val="005431FB"/>
    <w:rsid w:val="00543A0C"/>
    <w:rsid w:val="0054421F"/>
    <w:rsid w:val="00545F29"/>
    <w:rsid w:val="0054610E"/>
    <w:rsid w:val="00546575"/>
    <w:rsid w:val="00546DF1"/>
    <w:rsid w:val="00546DF4"/>
    <w:rsid w:val="005477A0"/>
    <w:rsid w:val="005525B5"/>
    <w:rsid w:val="00554A35"/>
    <w:rsid w:val="00554F6C"/>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0877"/>
    <w:rsid w:val="00591646"/>
    <w:rsid w:val="00592121"/>
    <w:rsid w:val="00592490"/>
    <w:rsid w:val="00592BA5"/>
    <w:rsid w:val="0059311D"/>
    <w:rsid w:val="00593189"/>
    <w:rsid w:val="00594118"/>
    <w:rsid w:val="0059657E"/>
    <w:rsid w:val="00596ECA"/>
    <w:rsid w:val="005A0368"/>
    <w:rsid w:val="005A07C6"/>
    <w:rsid w:val="005A1524"/>
    <w:rsid w:val="005A192E"/>
    <w:rsid w:val="005A505A"/>
    <w:rsid w:val="005A56C8"/>
    <w:rsid w:val="005A6B23"/>
    <w:rsid w:val="005A6DDB"/>
    <w:rsid w:val="005B018F"/>
    <w:rsid w:val="005B0EA7"/>
    <w:rsid w:val="005B0EFE"/>
    <w:rsid w:val="005B1E29"/>
    <w:rsid w:val="005B2114"/>
    <w:rsid w:val="005B278E"/>
    <w:rsid w:val="005B42F7"/>
    <w:rsid w:val="005B4A17"/>
    <w:rsid w:val="005B59B6"/>
    <w:rsid w:val="005B5BB2"/>
    <w:rsid w:val="005B5CB7"/>
    <w:rsid w:val="005B5D8C"/>
    <w:rsid w:val="005B6164"/>
    <w:rsid w:val="005B6516"/>
    <w:rsid w:val="005C0126"/>
    <w:rsid w:val="005C026D"/>
    <w:rsid w:val="005C0635"/>
    <w:rsid w:val="005C090B"/>
    <w:rsid w:val="005C093E"/>
    <w:rsid w:val="005C09DD"/>
    <w:rsid w:val="005C2ED8"/>
    <w:rsid w:val="005C4B3C"/>
    <w:rsid w:val="005C4FC7"/>
    <w:rsid w:val="005C58B3"/>
    <w:rsid w:val="005C5B71"/>
    <w:rsid w:val="005C7D15"/>
    <w:rsid w:val="005D1E3C"/>
    <w:rsid w:val="005D3034"/>
    <w:rsid w:val="005D39FA"/>
    <w:rsid w:val="005D3F38"/>
    <w:rsid w:val="005D450D"/>
    <w:rsid w:val="005D6687"/>
    <w:rsid w:val="005D76E9"/>
    <w:rsid w:val="005D7DFD"/>
    <w:rsid w:val="005D7FA3"/>
    <w:rsid w:val="005E04E4"/>
    <w:rsid w:val="005E1988"/>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2676"/>
    <w:rsid w:val="00613467"/>
    <w:rsid w:val="00614F4F"/>
    <w:rsid w:val="00616F91"/>
    <w:rsid w:val="00617768"/>
    <w:rsid w:val="00617FF0"/>
    <w:rsid w:val="006203CC"/>
    <w:rsid w:val="0062075B"/>
    <w:rsid w:val="00623621"/>
    <w:rsid w:val="00624774"/>
    <w:rsid w:val="00624B01"/>
    <w:rsid w:val="006250C6"/>
    <w:rsid w:val="006258C4"/>
    <w:rsid w:val="006261DD"/>
    <w:rsid w:val="006270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11C3"/>
    <w:rsid w:val="006525EB"/>
    <w:rsid w:val="00652982"/>
    <w:rsid w:val="00652D96"/>
    <w:rsid w:val="006541A1"/>
    <w:rsid w:val="006544D4"/>
    <w:rsid w:val="00661712"/>
    <w:rsid w:val="00661966"/>
    <w:rsid w:val="00661A45"/>
    <w:rsid w:val="006627BF"/>
    <w:rsid w:val="006631A9"/>
    <w:rsid w:val="00663242"/>
    <w:rsid w:val="00664476"/>
    <w:rsid w:val="00665D2B"/>
    <w:rsid w:val="00666CEF"/>
    <w:rsid w:val="00667072"/>
    <w:rsid w:val="00667120"/>
    <w:rsid w:val="0066742F"/>
    <w:rsid w:val="006707E8"/>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3FE6"/>
    <w:rsid w:val="0069517E"/>
    <w:rsid w:val="00696C0C"/>
    <w:rsid w:val="00697AE9"/>
    <w:rsid w:val="00697E0F"/>
    <w:rsid w:val="006A0107"/>
    <w:rsid w:val="006A0AF4"/>
    <w:rsid w:val="006A0C0A"/>
    <w:rsid w:val="006A17BD"/>
    <w:rsid w:val="006A74D0"/>
    <w:rsid w:val="006B04F3"/>
    <w:rsid w:val="006B0CEF"/>
    <w:rsid w:val="006B1BC5"/>
    <w:rsid w:val="006B220C"/>
    <w:rsid w:val="006B27EB"/>
    <w:rsid w:val="006B3FF2"/>
    <w:rsid w:val="006B47DE"/>
    <w:rsid w:val="006B5602"/>
    <w:rsid w:val="006B5A23"/>
    <w:rsid w:val="006B5E77"/>
    <w:rsid w:val="006B66D1"/>
    <w:rsid w:val="006B6BDE"/>
    <w:rsid w:val="006B705F"/>
    <w:rsid w:val="006C3A07"/>
    <w:rsid w:val="006C4C3A"/>
    <w:rsid w:val="006C510C"/>
    <w:rsid w:val="006C58EC"/>
    <w:rsid w:val="006C750A"/>
    <w:rsid w:val="006D059D"/>
    <w:rsid w:val="006D1256"/>
    <w:rsid w:val="006D171B"/>
    <w:rsid w:val="006D2C9F"/>
    <w:rsid w:val="006D2CC2"/>
    <w:rsid w:val="006D3BB5"/>
    <w:rsid w:val="006D3E2A"/>
    <w:rsid w:val="006D76ED"/>
    <w:rsid w:val="006E2106"/>
    <w:rsid w:val="006E2F3C"/>
    <w:rsid w:val="006E49AD"/>
    <w:rsid w:val="006E5C54"/>
    <w:rsid w:val="006E774E"/>
    <w:rsid w:val="006F13C0"/>
    <w:rsid w:val="006F2FA3"/>
    <w:rsid w:val="006F4E9F"/>
    <w:rsid w:val="006F58E5"/>
    <w:rsid w:val="006F5AE7"/>
    <w:rsid w:val="006F7127"/>
    <w:rsid w:val="0070006A"/>
    <w:rsid w:val="0070010F"/>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243D"/>
    <w:rsid w:val="007236E6"/>
    <w:rsid w:val="00724940"/>
    <w:rsid w:val="00725697"/>
    <w:rsid w:val="00725F04"/>
    <w:rsid w:val="0073021A"/>
    <w:rsid w:val="007304F7"/>
    <w:rsid w:val="007305E6"/>
    <w:rsid w:val="007329D7"/>
    <w:rsid w:val="00732AF6"/>
    <w:rsid w:val="0073353A"/>
    <w:rsid w:val="0073538B"/>
    <w:rsid w:val="007373CB"/>
    <w:rsid w:val="007375BE"/>
    <w:rsid w:val="00740175"/>
    <w:rsid w:val="00740C39"/>
    <w:rsid w:val="007411D4"/>
    <w:rsid w:val="00741668"/>
    <w:rsid w:val="007417EB"/>
    <w:rsid w:val="007423A3"/>
    <w:rsid w:val="00742F82"/>
    <w:rsid w:val="00743238"/>
    <w:rsid w:val="0074531C"/>
    <w:rsid w:val="00746528"/>
    <w:rsid w:val="00746D1A"/>
    <w:rsid w:val="007503B5"/>
    <w:rsid w:val="00752661"/>
    <w:rsid w:val="00752A26"/>
    <w:rsid w:val="00753F9C"/>
    <w:rsid w:val="007541BF"/>
    <w:rsid w:val="00754679"/>
    <w:rsid w:val="00755EAB"/>
    <w:rsid w:val="007570EA"/>
    <w:rsid w:val="00760380"/>
    <w:rsid w:val="007617E9"/>
    <w:rsid w:val="007619E8"/>
    <w:rsid w:val="00761DBA"/>
    <w:rsid w:val="00762911"/>
    <w:rsid w:val="0076316B"/>
    <w:rsid w:val="00766680"/>
    <w:rsid w:val="00766B69"/>
    <w:rsid w:val="00767578"/>
    <w:rsid w:val="0077004B"/>
    <w:rsid w:val="00770ECC"/>
    <w:rsid w:val="007712D9"/>
    <w:rsid w:val="00771F30"/>
    <w:rsid w:val="00773595"/>
    <w:rsid w:val="00773D5A"/>
    <w:rsid w:val="007740A2"/>
    <w:rsid w:val="0077425B"/>
    <w:rsid w:val="00776DF0"/>
    <w:rsid w:val="007776E2"/>
    <w:rsid w:val="00777C9A"/>
    <w:rsid w:val="00781B9F"/>
    <w:rsid w:val="00781E73"/>
    <w:rsid w:val="007823DA"/>
    <w:rsid w:val="00785F4C"/>
    <w:rsid w:val="00786107"/>
    <w:rsid w:val="00787363"/>
    <w:rsid w:val="00787670"/>
    <w:rsid w:val="007901A3"/>
    <w:rsid w:val="00790265"/>
    <w:rsid w:val="00790FDC"/>
    <w:rsid w:val="007921FD"/>
    <w:rsid w:val="00794EE1"/>
    <w:rsid w:val="00795F93"/>
    <w:rsid w:val="007975A6"/>
    <w:rsid w:val="007A0F1A"/>
    <w:rsid w:val="007A0F72"/>
    <w:rsid w:val="007A139E"/>
    <w:rsid w:val="007A1C0C"/>
    <w:rsid w:val="007A42E8"/>
    <w:rsid w:val="007A6EB3"/>
    <w:rsid w:val="007B1BAB"/>
    <w:rsid w:val="007B7A02"/>
    <w:rsid w:val="007C0C16"/>
    <w:rsid w:val="007C10B7"/>
    <w:rsid w:val="007C1D54"/>
    <w:rsid w:val="007C2D4A"/>
    <w:rsid w:val="007C464D"/>
    <w:rsid w:val="007C6514"/>
    <w:rsid w:val="007C6891"/>
    <w:rsid w:val="007C6D59"/>
    <w:rsid w:val="007C6D83"/>
    <w:rsid w:val="007D1B2D"/>
    <w:rsid w:val="007D2FD5"/>
    <w:rsid w:val="007D4458"/>
    <w:rsid w:val="007D4533"/>
    <w:rsid w:val="007D73A8"/>
    <w:rsid w:val="007D75A3"/>
    <w:rsid w:val="007E0452"/>
    <w:rsid w:val="007E127A"/>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1AD"/>
    <w:rsid w:val="007F671E"/>
    <w:rsid w:val="007F6BFC"/>
    <w:rsid w:val="00801C06"/>
    <w:rsid w:val="00801D62"/>
    <w:rsid w:val="00802A6E"/>
    <w:rsid w:val="008033D0"/>
    <w:rsid w:val="008043EB"/>
    <w:rsid w:val="008048A1"/>
    <w:rsid w:val="00805428"/>
    <w:rsid w:val="0080704F"/>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09A7"/>
    <w:rsid w:val="00841038"/>
    <w:rsid w:val="00841E29"/>
    <w:rsid w:val="0084316C"/>
    <w:rsid w:val="00850375"/>
    <w:rsid w:val="00850948"/>
    <w:rsid w:val="00851A4F"/>
    <w:rsid w:val="00852F3C"/>
    <w:rsid w:val="008536C9"/>
    <w:rsid w:val="00853E31"/>
    <w:rsid w:val="00856316"/>
    <w:rsid w:val="008604EB"/>
    <w:rsid w:val="00863C4A"/>
    <w:rsid w:val="00863E45"/>
    <w:rsid w:val="00864D43"/>
    <w:rsid w:val="00865B76"/>
    <w:rsid w:val="00865E24"/>
    <w:rsid w:val="00866021"/>
    <w:rsid w:val="008662B4"/>
    <w:rsid w:val="00866371"/>
    <w:rsid w:val="0086762E"/>
    <w:rsid w:val="00867BFD"/>
    <w:rsid w:val="008714F6"/>
    <w:rsid w:val="00874361"/>
    <w:rsid w:val="0087450E"/>
    <w:rsid w:val="0087741B"/>
    <w:rsid w:val="00880F83"/>
    <w:rsid w:val="008813F1"/>
    <w:rsid w:val="00882190"/>
    <w:rsid w:val="008834FB"/>
    <w:rsid w:val="00883D51"/>
    <w:rsid w:val="008844E1"/>
    <w:rsid w:val="008850C4"/>
    <w:rsid w:val="00885C77"/>
    <w:rsid w:val="008860EF"/>
    <w:rsid w:val="00886A0D"/>
    <w:rsid w:val="00886A87"/>
    <w:rsid w:val="0089106B"/>
    <w:rsid w:val="00892255"/>
    <w:rsid w:val="0089537B"/>
    <w:rsid w:val="0089689A"/>
    <w:rsid w:val="008A1143"/>
    <w:rsid w:val="008A19CD"/>
    <w:rsid w:val="008A31AF"/>
    <w:rsid w:val="008A3316"/>
    <w:rsid w:val="008A3B4B"/>
    <w:rsid w:val="008A3F71"/>
    <w:rsid w:val="008A4DB4"/>
    <w:rsid w:val="008A5942"/>
    <w:rsid w:val="008A701D"/>
    <w:rsid w:val="008A7449"/>
    <w:rsid w:val="008B0CA8"/>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296"/>
    <w:rsid w:val="00905802"/>
    <w:rsid w:val="009071EA"/>
    <w:rsid w:val="00910B80"/>
    <w:rsid w:val="00914554"/>
    <w:rsid w:val="009166C5"/>
    <w:rsid w:val="00917EFE"/>
    <w:rsid w:val="00920DE6"/>
    <w:rsid w:val="00920F08"/>
    <w:rsid w:val="00921F3B"/>
    <w:rsid w:val="00921FD4"/>
    <w:rsid w:val="0092231E"/>
    <w:rsid w:val="0092344E"/>
    <w:rsid w:val="00923D4D"/>
    <w:rsid w:val="009251C6"/>
    <w:rsid w:val="00926C79"/>
    <w:rsid w:val="00927BA4"/>
    <w:rsid w:val="00930C6A"/>
    <w:rsid w:val="009316EA"/>
    <w:rsid w:val="00932733"/>
    <w:rsid w:val="00932BCD"/>
    <w:rsid w:val="00933CDC"/>
    <w:rsid w:val="00941048"/>
    <w:rsid w:val="009412E6"/>
    <w:rsid w:val="00941657"/>
    <w:rsid w:val="009418A5"/>
    <w:rsid w:val="00941B8E"/>
    <w:rsid w:val="0094236B"/>
    <w:rsid w:val="009439A3"/>
    <w:rsid w:val="0094496D"/>
    <w:rsid w:val="00944A79"/>
    <w:rsid w:val="00944ABD"/>
    <w:rsid w:val="00945DAB"/>
    <w:rsid w:val="00946855"/>
    <w:rsid w:val="00950035"/>
    <w:rsid w:val="0095198A"/>
    <w:rsid w:val="00951ACC"/>
    <w:rsid w:val="00951E78"/>
    <w:rsid w:val="00952535"/>
    <w:rsid w:val="00953756"/>
    <w:rsid w:val="00953E1B"/>
    <w:rsid w:val="00955B64"/>
    <w:rsid w:val="00955CA2"/>
    <w:rsid w:val="009570E3"/>
    <w:rsid w:val="00960273"/>
    <w:rsid w:val="009608DC"/>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59B8"/>
    <w:rsid w:val="0098630F"/>
    <w:rsid w:val="00987A7E"/>
    <w:rsid w:val="0099160E"/>
    <w:rsid w:val="00991FB3"/>
    <w:rsid w:val="009943AD"/>
    <w:rsid w:val="00995102"/>
    <w:rsid w:val="00995240"/>
    <w:rsid w:val="009A166D"/>
    <w:rsid w:val="009A167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42C2"/>
    <w:rsid w:val="009C43CD"/>
    <w:rsid w:val="009C5CE2"/>
    <w:rsid w:val="009D5C79"/>
    <w:rsid w:val="009D5F62"/>
    <w:rsid w:val="009D6A56"/>
    <w:rsid w:val="009D7C2D"/>
    <w:rsid w:val="009E014F"/>
    <w:rsid w:val="009E295C"/>
    <w:rsid w:val="009E2F4E"/>
    <w:rsid w:val="009E32D4"/>
    <w:rsid w:val="009E727E"/>
    <w:rsid w:val="009E7568"/>
    <w:rsid w:val="009F4EF0"/>
    <w:rsid w:val="009F57CB"/>
    <w:rsid w:val="009F5B64"/>
    <w:rsid w:val="009F5CB4"/>
    <w:rsid w:val="009F664A"/>
    <w:rsid w:val="00A02FD8"/>
    <w:rsid w:val="00A0371F"/>
    <w:rsid w:val="00A04315"/>
    <w:rsid w:val="00A04B4E"/>
    <w:rsid w:val="00A05C43"/>
    <w:rsid w:val="00A06DA6"/>
    <w:rsid w:val="00A070A5"/>
    <w:rsid w:val="00A10FB3"/>
    <w:rsid w:val="00A12340"/>
    <w:rsid w:val="00A12419"/>
    <w:rsid w:val="00A13951"/>
    <w:rsid w:val="00A13B7A"/>
    <w:rsid w:val="00A13D9B"/>
    <w:rsid w:val="00A1568F"/>
    <w:rsid w:val="00A16BE2"/>
    <w:rsid w:val="00A17E04"/>
    <w:rsid w:val="00A213EA"/>
    <w:rsid w:val="00A22DCD"/>
    <w:rsid w:val="00A23808"/>
    <w:rsid w:val="00A26E41"/>
    <w:rsid w:val="00A27F72"/>
    <w:rsid w:val="00A309FE"/>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520D"/>
    <w:rsid w:val="00A56558"/>
    <w:rsid w:val="00A5655E"/>
    <w:rsid w:val="00A56E03"/>
    <w:rsid w:val="00A57C17"/>
    <w:rsid w:val="00A61CE0"/>
    <w:rsid w:val="00A626F8"/>
    <w:rsid w:val="00A62CDC"/>
    <w:rsid w:val="00A649D6"/>
    <w:rsid w:val="00A6534C"/>
    <w:rsid w:val="00A65D68"/>
    <w:rsid w:val="00A667F6"/>
    <w:rsid w:val="00A7037D"/>
    <w:rsid w:val="00A71ADF"/>
    <w:rsid w:val="00A73011"/>
    <w:rsid w:val="00A73184"/>
    <w:rsid w:val="00A73948"/>
    <w:rsid w:val="00A73E8A"/>
    <w:rsid w:val="00A74FFC"/>
    <w:rsid w:val="00A77709"/>
    <w:rsid w:val="00A77CB6"/>
    <w:rsid w:val="00A80FD8"/>
    <w:rsid w:val="00A81A53"/>
    <w:rsid w:val="00A82CEF"/>
    <w:rsid w:val="00A8311B"/>
    <w:rsid w:val="00A8417B"/>
    <w:rsid w:val="00A841AD"/>
    <w:rsid w:val="00A846A1"/>
    <w:rsid w:val="00A84EA9"/>
    <w:rsid w:val="00A8500A"/>
    <w:rsid w:val="00A851FE"/>
    <w:rsid w:val="00A86461"/>
    <w:rsid w:val="00A866E9"/>
    <w:rsid w:val="00A8672B"/>
    <w:rsid w:val="00A87DD7"/>
    <w:rsid w:val="00A905E3"/>
    <w:rsid w:val="00A91B5D"/>
    <w:rsid w:val="00A92793"/>
    <w:rsid w:val="00A92DB4"/>
    <w:rsid w:val="00A9550F"/>
    <w:rsid w:val="00A963AF"/>
    <w:rsid w:val="00A9763B"/>
    <w:rsid w:val="00AA0832"/>
    <w:rsid w:val="00AA0CC0"/>
    <w:rsid w:val="00AA27E9"/>
    <w:rsid w:val="00AA3D20"/>
    <w:rsid w:val="00AA573E"/>
    <w:rsid w:val="00AA5F44"/>
    <w:rsid w:val="00AA7C01"/>
    <w:rsid w:val="00AB07A1"/>
    <w:rsid w:val="00AB1160"/>
    <w:rsid w:val="00AB3B4F"/>
    <w:rsid w:val="00AB4151"/>
    <w:rsid w:val="00AB4CC1"/>
    <w:rsid w:val="00AB7ADC"/>
    <w:rsid w:val="00AC0B05"/>
    <w:rsid w:val="00AC0E3F"/>
    <w:rsid w:val="00AC22DA"/>
    <w:rsid w:val="00AC3BCA"/>
    <w:rsid w:val="00AC4664"/>
    <w:rsid w:val="00AC4CDC"/>
    <w:rsid w:val="00AC5173"/>
    <w:rsid w:val="00AC63E0"/>
    <w:rsid w:val="00AC6698"/>
    <w:rsid w:val="00AD05AA"/>
    <w:rsid w:val="00AD0E63"/>
    <w:rsid w:val="00AD1636"/>
    <w:rsid w:val="00AD1FD4"/>
    <w:rsid w:val="00AD2FD3"/>
    <w:rsid w:val="00AD4620"/>
    <w:rsid w:val="00AD4BFA"/>
    <w:rsid w:val="00AD7A8D"/>
    <w:rsid w:val="00AD7C74"/>
    <w:rsid w:val="00AE1ADA"/>
    <w:rsid w:val="00AE538C"/>
    <w:rsid w:val="00AE5D0A"/>
    <w:rsid w:val="00AE6BC3"/>
    <w:rsid w:val="00AF03FD"/>
    <w:rsid w:val="00AF1297"/>
    <w:rsid w:val="00AF12FA"/>
    <w:rsid w:val="00AF2DF7"/>
    <w:rsid w:val="00AF313F"/>
    <w:rsid w:val="00AF6A71"/>
    <w:rsid w:val="00B0091E"/>
    <w:rsid w:val="00B00D29"/>
    <w:rsid w:val="00B017E6"/>
    <w:rsid w:val="00B01B19"/>
    <w:rsid w:val="00B02DAE"/>
    <w:rsid w:val="00B11919"/>
    <w:rsid w:val="00B13A7B"/>
    <w:rsid w:val="00B169DC"/>
    <w:rsid w:val="00B170D2"/>
    <w:rsid w:val="00B20170"/>
    <w:rsid w:val="00B21D8C"/>
    <w:rsid w:val="00B25037"/>
    <w:rsid w:val="00B25294"/>
    <w:rsid w:val="00B26126"/>
    <w:rsid w:val="00B307DA"/>
    <w:rsid w:val="00B31D8B"/>
    <w:rsid w:val="00B3293D"/>
    <w:rsid w:val="00B368A2"/>
    <w:rsid w:val="00B421C6"/>
    <w:rsid w:val="00B450FE"/>
    <w:rsid w:val="00B45B0E"/>
    <w:rsid w:val="00B4653F"/>
    <w:rsid w:val="00B5009B"/>
    <w:rsid w:val="00B50FA1"/>
    <w:rsid w:val="00B5165A"/>
    <w:rsid w:val="00B517EB"/>
    <w:rsid w:val="00B51E1F"/>
    <w:rsid w:val="00B5258A"/>
    <w:rsid w:val="00B53120"/>
    <w:rsid w:val="00B53D74"/>
    <w:rsid w:val="00B54B30"/>
    <w:rsid w:val="00B55BEC"/>
    <w:rsid w:val="00B56C0A"/>
    <w:rsid w:val="00B579EF"/>
    <w:rsid w:val="00B57F50"/>
    <w:rsid w:val="00B6027A"/>
    <w:rsid w:val="00B604D9"/>
    <w:rsid w:val="00B6341A"/>
    <w:rsid w:val="00B65AA2"/>
    <w:rsid w:val="00B65C0B"/>
    <w:rsid w:val="00B667E3"/>
    <w:rsid w:val="00B7005C"/>
    <w:rsid w:val="00B718EA"/>
    <w:rsid w:val="00B7298F"/>
    <w:rsid w:val="00B730BF"/>
    <w:rsid w:val="00B738CA"/>
    <w:rsid w:val="00B7426F"/>
    <w:rsid w:val="00B746A8"/>
    <w:rsid w:val="00B74EF0"/>
    <w:rsid w:val="00B7657A"/>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358"/>
    <w:rsid w:val="00BB2560"/>
    <w:rsid w:val="00BB28BF"/>
    <w:rsid w:val="00BB47F2"/>
    <w:rsid w:val="00BB6614"/>
    <w:rsid w:val="00BB6C5D"/>
    <w:rsid w:val="00BB73FA"/>
    <w:rsid w:val="00BC139C"/>
    <w:rsid w:val="00BC1E3F"/>
    <w:rsid w:val="00BC225B"/>
    <w:rsid w:val="00BC48DB"/>
    <w:rsid w:val="00BC5B04"/>
    <w:rsid w:val="00BC5C1B"/>
    <w:rsid w:val="00BD18FD"/>
    <w:rsid w:val="00BD199C"/>
    <w:rsid w:val="00BD3693"/>
    <w:rsid w:val="00BD3D0C"/>
    <w:rsid w:val="00BD45A7"/>
    <w:rsid w:val="00BD735D"/>
    <w:rsid w:val="00BD7B50"/>
    <w:rsid w:val="00BD7EB0"/>
    <w:rsid w:val="00BE0C3C"/>
    <w:rsid w:val="00BE139F"/>
    <w:rsid w:val="00BE2CB5"/>
    <w:rsid w:val="00BE3FE0"/>
    <w:rsid w:val="00BE41EA"/>
    <w:rsid w:val="00BE4795"/>
    <w:rsid w:val="00BE4AE9"/>
    <w:rsid w:val="00BE6F9C"/>
    <w:rsid w:val="00BE74DD"/>
    <w:rsid w:val="00BF2080"/>
    <w:rsid w:val="00BF21B1"/>
    <w:rsid w:val="00BF2E3E"/>
    <w:rsid w:val="00BF361D"/>
    <w:rsid w:val="00BF482A"/>
    <w:rsid w:val="00BF7CF1"/>
    <w:rsid w:val="00C048F2"/>
    <w:rsid w:val="00C05FC5"/>
    <w:rsid w:val="00C10200"/>
    <w:rsid w:val="00C105BA"/>
    <w:rsid w:val="00C11C35"/>
    <w:rsid w:val="00C12D16"/>
    <w:rsid w:val="00C1454A"/>
    <w:rsid w:val="00C1614A"/>
    <w:rsid w:val="00C20417"/>
    <w:rsid w:val="00C22361"/>
    <w:rsid w:val="00C229FE"/>
    <w:rsid w:val="00C24292"/>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A8"/>
    <w:rsid w:val="00C575DB"/>
    <w:rsid w:val="00C60DFE"/>
    <w:rsid w:val="00C615F9"/>
    <w:rsid w:val="00C629D3"/>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22C"/>
    <w:rsid w:val="00C86375"/>
    <w:rsid w:val="00C86B65"/>
    <w:rsid w:val="00C8771B"/>
    <w:rsid w:val="00C905D2"/>
    <w:rsid w:val="00C918A4"/>
    <w:rsid w:val="00C91D45"/>
    <w:rsid w:val="00C940A2"/>
    <w:rsid w:val="00C945F5"/>
    <w:rsid w:val="00C9481C"/>
    <w:rsid w:val="00C94D50"/>
    <w:rsid w:val="00C951DC"/>
    <w:rsid w:val="00C95DA5"/>
    <w:rsid w:val="00CA1AE2"/>
    <w:rsid w:val="00CA2901"/>
    <w:rsid w:val="00CA2F51"/>
    <w:rsid w:val="00CA42CD"/>
    <w:rsid w:val="00CA4FFE"/>
    <w:rsid w:val="00CA6AF8"/>
    <w:rsid w:val="00CA6C5B"/>
    <w:rsid w:val="00CA7827"/>
    <w:rsid w:val="00CB13F6"/>
    <w:rsid w:val="00CB3A5C"/>
    <w:rsid w:val="00CB3D87"/>
    <w:rsid w:val="00CB40D9"/>
    <w:rsid w:val="00CB475F"/>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0A3"/>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CF6B9A"/>
    <w:rsid w:val="00D017B6"/>
    <w:rsid w:val="00D02107"/>
    <w:rsid w:val="00D02406"/>
    <w:rsid w:val="00D064B3"/>
    <w:rsid w:val="00D06D03"/>
    <w:rsid w:val="00D06D16"/>
    <w:rsid w:val="00D10CDE"/>
    <w:rsid w:val="00D11149"/>
    <w:rsid w:val="00D12FF9"/>
    <w:rsid w:val="00D130ED"/>
    <w:rsid w:val="00D14E56"/>
    <w:rsid w:val="00D1524E"/>
    <w:rsid w:val="00D17267"/>
    <w:rsid w:val="00D17AB6"/>
    <w:rsid w:val="00D17CAC"/>
    <w:rsid w:val="00D2105D"/>
    <w:rsid w:val="00D21B72"/>
    <w:rsid w:val="00D23A50"/>
    <w:rsid w:val="00D24F92"/>
    <w:rsid w:val="00D25FAA"/>
    <w:rsid w:val="00D26075"/>
    <w:rsid w:val="00D268D4"/>
    <w:rsid w:val="00D26BCC"/>
    <w:rsid w:val="00D30815"/>
    <w:rsid w:val="00D31A6B"/>
    <w:rsid w:val="00D329DA"/>
    <w:rsid w:val="00D332A2"/>
    <w:rsid w:val="00D33B4E"/>
    <w:rsid w:val="00D3406C"/>
    <w:rsid w:val="00D34872"/>
    <w:rsid w:val="00D35BEB"/>
    <w:rsid w:val="00D36F84"/>
    <w:rsid w:val="00D41DFC"/>
    <w:rsid w:val="00D42252"/>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6561A"/>
    <w:rsid w:val="00D71BD2"/>
    <w:rsid w:val="00D7309D"/>
    <w:rsid w:val="00D734B0"/>
    <w:rsid w:val="00D752C7"/>
    <w:rsid w:val="00D759E6"/>
    <w:rsid w:val="00D765D4"/>
    <w:rsid w:val="00D77EA9"/>
    <w:rsid w:val="00D8059C"/>
    <w:rsid w:val="00D81202"/>
    <w:rsid w:val="00D84250"/>
    <w:rsid w:val="00D84C2D"/>
    <w:rsid w:val="00D86139"/>
    <w:rsid w:val="00D86871"/>
    <w:rsid w:val="00D87E83"/>
    <w:rsid w:val="00D90241"/>
    <w:rsid w:val="00D9041F"/>
    <w:rsid w:val="00D906F2"/>
    <w:rsid w:val="00D91189"/>
    <w:rsid w:val="00D924C1"/>
    <w:rsid w:val="00D92C14"/>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D4747"/>
    <w:rsid w:val="00DD4949"/>
    <w:rsid w:val="00DD5FA5"/>
    <w:rsid w:val="00DE1993"/>
    <w:rsid w:val="00DE4330"/>
    <w:rsid w:val="00DE4F3B"/>
    <w:rsid w:val="00DE64F5"/>
    <w:rsid w:val="00DE6A8E"/>
    <w:rsid w:val="00DE7FEE"/>
    <w:rsid w:val="00DF0F9C"/>
    <w:rsid w:val="00DF2525"/>
    <w:rsid w:val="00DF5536"/>
    <w:rsid w:val="00E008AB"/>
    <w:rsid w:val="00E00F02"/>
    <w:rsid w:val="00E01733"/>
    <w:rsid w:val="00E01DEF"/>
    <w:rsid w:val="00E02236"/>
    <w:rsid w:val="00E02376"/>
    <w:rsid w:val="00E02511"/>
    <w:rsid w:val="00E02613"/>
    <w:rsid w:val="00E02D6B"/>
    <w:rsid w:val="00E04026"/>
    <w:rsid w:val="00E05372"/>
    <w:rsid w:val="00E10DF4"/>
    <w:rsid w:val="00E11809"/>
    <w:rsid w:val="00E119E4"/>
    <w:rsid w:val="00E11C48"/>
    <w:rsid w:val="00E12F3B"/>
    <w:rsid w:val="00E1370F"/>
    <w:rsid w:val="00E13BC8"/>
    <w:rsid w:val="00E14767"/>
    <w:rsid w:val="00E16001"/>
    <w:rsid w:val="00E16522"/>
    <w:rsid w:val="00E165B0"/>
    <w:rsid w:val="00E167F8"/>
    <w:rsid w:val="00E16ED7"/>
    <w:rsid w:val="00E1793F"/>
    <w:rsid w:val="00E17E23"/>
    <w:rsid w:val="00E21FF1"/>
    <w:rsid w:val="00E222DC"/>
    <w:rsid w:val="00E22FF8"/>
    <w:rsid w:val="00E23414"/>
    <w:rsid w:val="00E24753"/>
    <w:rsid w:val="00E24B02"/>
    <w:rsid w:val="00E2558B"/>
    <w:rsid w:val="00E26C06"/>
    <w:rsid w:val="00E26FA1"/>
    <w:rsid w:val="00E31A03"/>
    <w:rsid w:val="00E327D9"/>
    <w:rsid w:val="00E35B6F"/>
    <w:rsid w:val="00E35BBA"/>
    <w:rsid w:val="00E361A6"/>
    <w:rsid w:val="00E405BB"/>
    <w:rsid w:val="00E40F59"/>
    <w:rsid w:val="00E425F0"/>
    <w:rsid w:val="00E42BEE"/>
    <w:rsid w:val="00E4337F"/>
    <w:rsid w:val="00E44D8E"/>
    <w:rsid w:val="00E4753D"/>
    <w:rsid w:val="00E47B39"/>
    <w:rsid w:val="00E51249"/>
    <w:rsid w:val="00E52B77"/>
    <w:rsid w:val="00E53057"/>
    <w:rsid w:val="00E53999"/>
    <w:rsid w:val="00E53A7C"/>
    <w:rsid w:val="00E53D51"/>
    <w:rsid w:val="00E54519"/>
    <w:rsid w:val="00E55BBA"/>
    <w:rsid w:val="00E55CB9"/>
    <w:rsid w:val="00E561A5"/>
    <w:rsid w:val="00E56385"/>
    <w:rsid w:val="00E61C2A"/>
    <w:rsid w:val="00E63EB6"/>
    <w:rsid w:val="00E646DB"/>
    <w:rsid w:val="00E64C02"/>
    <w:rsid w:val="00E65523"/>
    <w:rsid w:val="00E655FB"/>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97E32"/>
    <w:rsid w:val="00EA01A6"/>
    <w:rsid w:val="00EA340C"/>
    <w:rsid w:val="00EA591A"/>
    <w:rsid w:val="00EA70EC"/>
    <w:rsid w:val="00EA717B"/>
    <w:rsid w:val="00EB22AA"/>
    <w:rsid w:val="00EB2DCD"/>
    <w:rsid w:val="00EB4939"/>
    <w:rsid w:val="00EB606E"/>
    <w:rsid w:val="00EB633F"/>
    <w:rsid w:val="00EB7820"/>
    <w:rsid w:val="00EB7AA2"/>
    <w:rsid w:val="00EC16F5"/>
    <w:rsid w:val="00EC203E"/>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2D56"/>
    <w:rsid w:val="00F0426E"/>
    <w:rsid w:val="00F0487B"/>
    <w:rsid w:val="00F048B5"/>
    <w:rsid w:val="00F0668C"/>
    <w:rsid w:val="00F0681A"/>
    <w:rsid w:val="00F06FE2"/>
    <w:rsid w:val="00F15B4C"/>
    <w:rsid w:val="00F174BB"/>
    <w:rsid w:val="00F20C63"/>
    <w:rsid w:val="00F20E06"/>
    <w:rsid w:val="00F213C9"/>
    <w:rsid w:val="00F23C0F"/>
    <w:rsid w:val="00F2429C"/>
    <w:rsid w:val="00F246D2"/>
    <w:rsid w:val="00F254AC"/>
    <w:rsid w:val="00F25737"/>
    <w:rsid w:val="00F26EF6"/>
    <w:rsid w:val="00F27208"/>
    <w:rsid w:val="00F31059"/>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25EB"/>
    <w:rsid w:val="00F52B7D"/>
    <w:rsid w:val="00F544A2"/>
    <w:rsid w:val="00F54E67"/>
    <w:rsid w:val="00F559B2"/>
    <w:rsid w:val="00F56EE7"/>
    <w:rsid w:val="00F615A8"/>
    <w:rsid w:val="00F64395"/>
    <w:rsid w:val="00F652DC"/>
    <w:rsid w:val="00F67291"/>
    <w:rsid w:val="00F70C51"/>
    <w:rsid w:val="00F745DA"/>
    <w:rsid w:val="00F76713"/>
    <w:rsid w:val="00F77520"/>
    <w:rsid w:val="00F81C51"/>
    <w:rsid w:val="00F81F9C"/>
    <w:rsid w:val="00F833ED"/>
    <w:rsid w:val="00F83557"/>
    <w:rsid w:val="00F84F71"/>
    <w:rsid w:val="00F85D7A"/>
    <w:rsid w:val="00F8740E"/>
    <w:rsid w:val="00F90C86"/>
    <w:rsid w:val="00F90DE7"/>
    <w:rsid w:val="00F914D4"/>
    <w:rsid w:val="00F91E44"/>
    <w:rsid w:val="00F92391"/>
    <w:rsid w:val="00F92E68"/>
    <w:rsid w:val="00F93138"/>
    <w:rsid w:val="00F96202"/>
    <w:rsid w:val="00F96690"/>
    <w:rsid w:val="00F96A31"/>
    <w:rsid w:val="00FA071E"/>
    <w:rsid w:val="00FA0CFD"/>
    <w:rsid w:val="00FA1467"/>
    <w:rsid w:val="00FA4B54"/>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3F70"/>
    <w:rsid w:val="00FD6320"/>
    <w:rsid w:val="00FE2DD9"/>
    <w:rsid w:val="00FE450A"/>
    <w:rsid w:val="00FE591D"/>
    <w:rsid w:val="00FE5FF0"/>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41A4E7C6-0C26-4B17-8A60-F1600E1A6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372F9C"/>
    <w:pPr>
      <w:spacing w:before="12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372F9C"/>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AA27E9"/>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AA27E9"/>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9A167D"/>
    <w:pPr>
      <w:spacing w:before="120" w:after="120"/>
      <w:ind w:left="360"/>
    </w:pPr>
    <w:rPr>
      <w:sz w:val="24"/>
      <w:szCs w:val="24"/>
      <w:shd w:val="clear" w:color="auto" w:fill="FFFFFF" w:themeFill="background1"/>
    </w:rPr>
  </w:style>
  <w:style w:type="character" w:customStyle="1" w:styleId="JANZSSABulletChar">
    <w:name w:val="JANZSSA Bullet Char"/>
    <w:basedOn w:val="DefaultParagraphFont"/>
    <w:link w:val="JANZSSABullet"/>
    <w:rsid w:val="009A167D"/>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9608DC"/>
    <w:pPr>
      <w:spacing w:before="240"/>
    </w:pPr>
    <w:rPr>
      <w:rFonts w:eastAsia="Calibri" w:cs="Segoe UI"/>
      <w:bCs w:val="0"/>
      <w:shd w:val="clear" w:color="auto" w:fill="FFFFFF"/>
      <w:lang w:val="en"/>
    </w:rPr>
  </w:style>
  <w:style w:type="character" w:customStyle="1" w:styleId="JANZSSAHeading2Char">
    <w:name w:val="JANZSSA Heading 2 Char"/>
    <w:basedOn w:val="DefaultParagraphFont"/>
    <w:link w:val="JANZSSAHeading2"/>
    <w:rsid w:val="009608DC"/>
    <w:rPr>
      <w:rFonts w:ascii="Times New Roman" w:eastAsia="Calibri" w:hAnsi="Times New Roman" w:cs="Segoe UI"/>
      <w:b/>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E8312E"/>
    <w:pPr>
      <w:spacing w:after="40"/>
    </w:pPr>
    <w:rPr>
      <w:rFonts w:eastAsia="MS Mincho"/>
      <w:bCs/>
      <w:i/>
      <w:lang w:eastAsia="ja-JP"/>
    </w:rPr>
  </w:style>
  <w:style w:type="character" w:customStyle="1" w:styleId="JANZSSAHeading3Char">
    <w:name w:val="JANZSSA Heading 3 Char"/>
    <w:basedOn w:val="JANZSSAHeading2Char"/>
    <w:link w:val="JANZSSAHeading3"/>
    <w:rsid w:val="00E8312E"/>
    <w:rPr>
      <w:rFonts w:ascii="Times New Roman" w:eastAsia="MS Mincho" w:hAnsi="Times New Roman" w:cs="Segoe UI"/>
      <w:b/>
      <w:bCs/>
      <w:i/>
      <w:sz w:val="24"/>
      <w:szCs w:val="24"/>
      <w:lang w:val="en" w:eastAsia="ja-JP"/>
    </w:rPr>
  </w:style>
  <w:style w:type="paragraph" w:customStyle="1" w:styleId="JANZSSAHeading4">
    <w:name w:val="JANZSSA Heading 4"/>
    <w:basedOn w:val="JANZSSAHeading3"/>
    <w:link w:val="JANZSSAHeading4Char"/>
    <w:autoRedefine/>
    <w:qFormat/>
    <w:rsid w:val="00126293"/>
    <w:rPr>
      <w:b w:val="0"/>
      <w:bCs w:val="0"/>
      <w:iCs/>
      <w:szCs w:val="26"/>
    </w:rPr>
  </w:style>
  <w:style w:type="character" w:customStyle="1" w:styleId="JANZSSAHeading4Char">
    <w:name w:val="JANZSSA Heading 4 Char"/>
    <w:basedOn w:val="JANZSSAHeading3Char"/>
    <w:link w:val="JANZSSAHeading4"/>
    <w:rsid w:val="00126293"/>
    <w:rPr>
      <w:rFonts w:ascii="Times New Roman" w:eastAsia="MS Mincho" w:hAnsi="Times New Roman" w:cs="Segoe UI"/>
      <w:b w:val="0"/>
      <w:bCs w:val="0"/>
      <w:i/>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pPr>
      <w:spacing w:before="120" w:after="120"/>
    </w:pPr>
    <w:rPr>
      <w:b/>
      <w:bCs/>
      <w:i w:val="0"/>
      <w:iCs w:val="0"/>
      <w:sz w:val="2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C24292"/>
    <w:rPr>
      <w:color w:val="0000FF" w:themeColor="hyperlink"/>
      <w:u w:val="single"/>
    </w:rPr>
  </w:style>
  <w:style w:type="paragraph" w:styleId="ListParagraph">
    <w:name w:val="List Paragraph"/>
    <w:basedOn w:val="Normal"/>
    <w:uiPriority w:val="34"/>
    <w:qFormat/>
    <w:rsid w:val="00AD4620"/>
    <w:pPr>
      <w:ind w:left="720"/>
      <w:contextualSpacing/>
    </w:pPr>
    <w:rPr>
      <w:rFonts w:ascii="Calibri" w:eastAsiaTheme="minorHAnsi" w:hAnsi="Calibri" w:cstheme="minorBidi"/>
      <w:kern w:val="2"/>
      <w:sz w:val="22"/>
      <w:lang w:eastAsia="en-US"/>
      <w14:ligatures w14:val="standardContextual"/>
    </w:rPr>
  </w:style>
  <w:style w:type="character" w:customStyle="1" w:styleId="contributors">
    <w:name w:val="contributors"/>
    <w:basedOn w:val="DefaultParagraphFont"/>
    <w:rsid w:val="00AD4620"/>
  </w:style>
  <w:style w:type="character" w:customStyle="1" w:styleId="accessed-date">
    <w:name w:val="accessed-date"/>
    <w:basedOn w:val="DefaultParagraphFont"/>
    <w:rsid w:val="00AD4620"/>
  </w:style>
  <w:style w:type="character" w:styleId="CommentReference">
    <w:name w:val="annotation reference"/>
    <w:basedOn w:val="DefaultParagraphFont"/>
    <w:uiPriority w:val="99"/>
    <w:semiHidden/>
    <w:unhideWhenUsed/>
    <w:rsid w:val="00B5258A"/>
    <w:rPr>
      <w:sz w:val="16"/>
      <w:szCs w:val="16"/>
    </w:rPr>
  </w:style>
  <w:style w:type="paragraph" w:styleId="CommentText">
    <w:name w:val="annotation text"/>
    <w:basedOn w:val="Normal"/>
    <w:link w:val="CommentTextChar"/>
    <w:uiPriority w:val="99"/>
    <w:unhideWhenUsed/>
    <w:rsid w:val="00B5258A"/>
    <w:rPr>
      <w:szCs w:val="20"/>
    </w:rPr>
  </w:style>
  <w:style w:type="character" w:customStyle="1" w:styleId="CommentTextChar">
    <w:name w:val="Comment Text Char"/>
    <w:basedOn w:val="DefaultParagraphFont"/>
    <w:link w:val="CommentText"/>
    <w:uiPriority w:val="99"/>
    <w:rsid w:val="00B5258A"/>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B5258A"/>
    <w:rPr>
      <w:b/>
      <w:bCs/>
    </w:rPr>
  </w:style>
  <w:style w:type="character" w:customStyle="1" w:styleId="CommentSubjectChar">
    <w:name w:val="Comment Subject Char"/>
    <w:basedOn w:val="CommentTextChar"/>
    <w:link w:val="CommentSubject"/>
    <w:uiPriority w:val="99"/>
    <w:semiHidden/>
    <w:rsid w:val="00B5258A"/>
    <w:rPr>
      <w:rFonts w:ascii="Times New Roman" w:eastAsia="Calibri" w:hAnsi="Times New Roman"/>
      <w:b/>
      <w:bCs/>
    </w:rPr>
  </w:style>
  <w:style w:type="paragraph" w:styleId="FootnoteText">
    <w:name w:val="footnote text"/>
    <w:basedOn w:val="Normal"/>
    <w:link w:val="FootnoteTextChar"/>
    <w:uiPriority w:val="99"/>
    <w:semiHidden/>
    <w:unhideWhenUsed/>
    <w:qFormat/>
    <w:rsid w:val="00517469"/>
    <w:rPr>
      <w:szCs w:val="20"/>
    </w:rPr>
  </w:style>
  <w:style w:type="character" w:customStyle="1" w:styleId="FootnoteTextChar">
    <w:name w:val="Footnote Text Char"/>
    <w:basedOn w:val="DefaultParagraphFont"/>
    <w:link w:val="FootnoteText"/>
    <w:uiPriority w:val="99"/>
    <w:semiHidden/>
    <w:rsid w:val="00517469"/>
    <w:rPr>
      <w:rFonts w:ascii="Times New Roman" w:eastAsia="Calibri" w:hAnsi="Times New Roman"/>
    </w:rPr>
  </w:style>
  <w:style w:type="character" w:styleId="FootnoteReference">
    <w:name w:val="footnote reference"/>
    <w:basedOn w:val="DefaultParagraphFont"/>
    <w:uiPriority w:val="99"/>
    <w:semiHidden/>
    <w:unhideWhenUsed/>
    <w:rsid w:val="00517469"/>
    <w:rPr>
      <w:vertAlign w:val="superscript"/>
    </w:rPr>
  </w:style>
  <w:style w:type="character" w:styleId="FollowedHyperlink">
    <w:name w:val="FollowedHyperlink"/>
    <w:basedOn w:val="DefaultParagraphFont"/>
    <w:uiPriority w:val="99"/>
    <w:semiHidden/>
    <w:unhideWhenUsed/>
    <w:rsid w:val="0051746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395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10318472">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294800554">
      <w:bodyDiv w:val="1"/>
      <w:marLeft w:val="0"/>
      <w:marRight w:val="0"/>
      <w:marTop w:val="0"/>
      <w:marBottom w:val="0"/>
      <w:divBdr>
        <w:top w:val="none" w:sz="0" w:space="0" w:color="auto"/>
        <w:left w:val="none" w:sz="0" w:space="0" w:color="auto"/>
        <w:bottom w:val="none" w:sz="0" w:space="0" w:color="auto"/>
        <w:right w:val="none" w:sz="0" w:space="0" w:color="auto"/>
      </w:divBdr>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41585388">
      <w:bodyDiv w:val="1"/>
      <w:marLeft w:val="0"/>
      <w:marRight w:val="0"/>
      <w:marTop w:val="0"/>
      <w:marBottom w:val="0"/>
      <w:divBdr>
        <w:top w:val="none" w:sz="0" w:space="0" w:color="auto"/>
        <w:left w:val="none" w:sz="0" w:space="0" w:color="auto"/>
        <w:bottom w:val="none" w:sz="0" w:space="0" w:color="auto"/>
        <w:right w:val="none" w:sz="0" w:space="0" w:color="auto"/>
      </w:divBdr>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84595e5-d7b5-4b01-b623-6b6807072fa3">
      <Terms xmlns="http://schemas.microsoft.com/office/infopath/2007/PartnerControls"/>
    </lcf76f155ced4ddcb4097134ff3c332f>
    <TaxCatchAll xmlns="84b19ea7-d61a-4583-bb00-55465adf5bc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34768CA4CA3C0469C45098F2D1D7CDD" ma:contentTypeVersion="18" ma:contentTypeDescription="Create a new document." ma:contentTypeScope="" ma:versionID="fa1af9e43da429b08be45a5944dc97c5">
  <xsd:schema xmlns:xsd="http://www.w3.org/2001/XMLSchema" xmlns:xs="http://www.w3.org/2001/XMLSchema" xmlns:p="http://schemas.microsoft.com/office/2006/metadata/properties" xmlns:ns2="784595e5-d7b5-4b01-b623-6b6807072fa3" xmlns:ns3="84b19ea7-d61a-4583-bb00-55465adf5bcb" targetNamespace="http://schemas.microsoft.com/office/2006/metadata/properties" ma:root="true" ma:fieldsID="27b89122934ffe866b709868dd123428" ns2:_="" ns3:_="">
    <xsd:import namespace="784595e5-d7b5-4b01-b623-6b6807072fa3"/>
    <xsd:import namespace="84b19ea7-d61a-4583-bb00-55465adf5bc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4595e5-d7b5-4b01-b623-6b6807072f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72062d1-bd83-4fea-b008-dea629cb386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b19ea7-d61a-4583-bb00-55465adf5bc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1436c9a-39aa-4c89-b489-5707ff5682b8}" ma:internalName="TaxCatchAll" ma:showField="CatchAllData" ma:web="84b19ea7-d61a-4583-bb00-55465adf5b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customXml/itemProps2.xml><?xml version="1.0" encoding="utf-8"?>
<ds:datastoreItem xmlns:ds="http://schemas.openxmlformats.org/officeDocument/2006/customXml" ds:itemID="{A7922D36-C334-4748-85BE-52A19951477A}">
  <ds:schemaRefs>
    <ds:schemaRef ds:uri="http://schemas.microsoft.com/office/2006/metadata/properties"/>
    <ds:schemaRef ds:uri="http://schemas.microsoft.com/office/infopath/2007/PartnerControls"/>
    <ds:schemaRef ds:uri="784595e5-d7b5-4b01-b623-6b6807072fa3"/>
    <ds:schemaRef ds:uri="84b19ea7-d61a-4583-bb00-55465adf5bcb"/>
  </ds:schemaRefs>
</ds:datastoreItem>
</file>

<file path=customXml/itemProps3.xml><?xml version="1.0" encoding="utf-8"?>
<ds:datastoreItem xmlns:ds="http://schemas.openxmlformats.org/officeDocument/2006/customXml" ds:itemID="{D18A1DC1-900E-4473-8C37-E7EB38A21F0D}">
  <ds:schemaRefs>
    <ds:schemaRef ds:uri="http://schemas.microsoft.com/sharepoint/v3/contenttype/forms"/>
  </ds:schemaRefs>
</ds:datastoreItem>
</file>

<file path=customXml/itemProps4.xml><?xml version="1.0" encoding="utf-8"?>
<ds:datastoreItem xmlns:ds="http://schemas.openxmlformats.org/officeDocument/2006/customXml" ds:itemID="{C79C13F8-498B-481C-B5A8-32E6160D2A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4595e5-d7b5-4b01-b623-6b6807072fa3"/>
    <ds:schemaRef ds:uri="84b19ea7-d61a-4583-bb00-55465adf5b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3043</Words>
  <Characters>17348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9</cp:revision>
  <cp:lastPrinted>2021-05-06T02:15:00Z</cp:lastPrinted>
  <dcterms:created xsi:type="dcterms:W3CDTF">2024-10-30T01:26:00Z</dcterms:created>
  <dcterms:modified xsi:type="dcterms:W3CDTF">2024-11-13T23:45:00Z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2024-10-22T08:50:23Z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0be26ec6-cc74-4c4c-9102-7def78cb0091</vt:lpwstr>
  </property>
  <property fmtid="{D5CDD505-2E9C-101B-9397-08002B2CF9AE}" pid="8" name="MSIP_Label_0f488380-630a-4f55-a077-a19445e3f360_ContentBits">
    <vt:lpwstr>0</vt:lpwstr>
  </property>
  <property fmtid="{D5CDD505-2E9C-101B-9397-08002B2CF9AE}" pid="9" name="ContentTypeId">
    <vt:lpwstr>0x010100934768CA4CA3C0469C45098F2D1D7CDD</vt:lpwstr>
  </property>
</Properties>
</file>